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800" w:lineRule="exact"/>
        <w:jc w:val="distribute"/>
        <w:rPr>
          <w:rFonts w:eastAsia="华文中宋"/>
          <w:color w:val="FF0000"/>
          <w:w w:val="80"/>
          <w:sz w:val="72"/>
          <w:szCs w:val="72"/>
        </w:rPr>
      </w:pPr>
      <w:r>
        <w:rPr>
          <w:color w:val="000000"/>
          <w:sz w:val="24"/>
        </w:rPr>
        <mc:AlternateContent>
          <mc:Choice Requires="wpg">
            <w:drawing>
              <wp:anchor distT="0" distB="0" distL="114300" distR="114300" simplePos="0" relativeHeight="251659264" behindDoc="0" locked="0" layoutInCell="1" allowOverlap="1">
                <wp:simplePos x="0" y="0"/>
                <wp:positionH relativeFrom="character">
                  <wp:posOffset>-66675</wp:posOffset>
                </wp:positionH>
                <wp:positionV relativeFrom="line">
                  <wp:posOffset>506730</wp:posOffset>
                </wp:positionV>
                <wp:extent cx="5943600" cy="396240"/>
                <wp:effectExtent l="0" t="0" r="0" b="0"/>
                <wp:wrapNone/>
                <wp:docPr id="4" name="Group 2"/>
                <wp:cNvGraphicFramePr/>
                <a:graphic xmlns:a="http://schemas.openxmlformats.org/drawingml/2006/main">
                  <a:graphicData uri="http://schemas.microsoft.com/office/word/2010/wordprocessingGroup">
                    <wpg:wgp>
                      <wpg:cNvGrpSpPr/>
                      <wpg:grpSpPr>
                        <a:xfrm>
                          <a:off x="0" y="0"/>
                          <a:ext cx="5943600" cy="396240"/>
                          <a:chOff x="0" y="0"/>
                          <a:chExt cx="8460" cy="624"/>
                        </a:xfrm>
                      </wpg:grpSpPr>
                      <wps:wsp>
                        <wps:cNvPr id="2" name="AutoShape 3"/>
                        <wps:cNvSpPr/>
                        <wps:spPr>
                          <a:xfrm>
                            <a:off x="0" y="0"/>
                            <a:ext cx="8460" cy="624"/>
                          </a:xfrm>
                          <a:prstGeom prst="rect">
                            <a:avLst/>
                          </a:prstGeom>
                          <a:noFill/>
                          <a:ln w="9525">
                            <a:noFill/>
                          </a:ln>
                        </wps:spPr>
                        <wps:bodyPr vert="horz" wrap="square" upright="1"/>
                      </wps:wsp>
                      <wps:wsp>
                        <wps:cNvPr id="3" name="Line 4"/>
                        <wps:cNvCnPr/>
                        <wps:spPr>
                          <a:xfrm>
                            <a:off x="185" y="282"/>
                            <a:ext cx="8091" cy="0"/>
                          </a:xfrm>
                          <a:prstGeom prst="line">
                            <a:avLst/>
                          </a:prstGeom>
                          <a:ln w="19050" cap="flat" cmpd="sng">
                            <a:solidFill>
                              <a:srgbClr val="FF0000"/>
                            </a:solidFill>
                            <a:prstDash val="solid"/>
                            <a:bevel/>
                            <a:headEnd type="none" w="med" len="med"/>
                            <a:tailEnd type="none" w="med" len="med"/>
                          </a:ln>
                        </wps:spPr>
                        <wps:bodyPr/>
                      </wps:wsp>
                    </wpg:wgp>
                  </a:graphicData>
                </a:graphic>
              </wp:anchor>
            </w:drawing>
          </mc:Choice>
          <mc:Fallback>
            <w:pict>
              <v:group id="Group 2" o:spid="_x0000_s1026" o:spt="203" style="position:absolute;left:0pt;margin-left:-5.25pt;margin-top:39.9pt;height:31.2pt;width:468pt;mso-position-horizontal-relative:char;mso-position-vertical-relative:line;z-index:251659264;mso-width-relative:page;mso-height-relative:page;" coordsize="8460,624" o:gfxdata="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PxvK2QAAAAoBAAAPAAAAAAAAAAEA&#10;IAAAACIAAABkcnMvZG93bnJldi54bWxQSwECFAAUAAAACACHTuJAbp6H0oACAAArBgAADgAAAAAA&#10;AAABACAAAAAoAQAAZHJzL2Uyb0RvYy54bWxQSwUGAAAAAAYABgBZAQAAGgYAAAAA&#10;">
                <o:lock v:ext="edit" aspectratio="f"/>
                <v:rect id="AutoShape 3" o:spid="_x0000_s1026" o:spt="1" style="position:absolute;left:0;top:0;height:624;width:846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line id="Line 4" o:spid="_x0000_s1026" o:spt="20" style="position:absolute;left:185;top:282;height:0;width:8091;" filled="f" stroked="t" coordsize="21600,21600" o:gfxdata="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rEGb4A&#10;AADaAAAADwAAAAAAAAABACAAAAAiAAAAZHJzL2Rvd25yZXYueG1sUEsBAhQAFAAAAAgAh07iQDMv&#10;BZ47AAAAOQAAABAAAAAAAAAAAQAgAAAADQEAAGRycy9zaGFwZXhtbC54bWxQSwUGAAAAAAYABgBb&#10;AQAAtwMAAAAA&#10;">
                  <v:fill on="f" focussize="0,0"/>
                  <v:stroke weight="1.5pt" color="#FF0000" joinstyle="bevel"/>
                  <v:imagedata o:title=""/>
                  <o:lock v:ext="edit" aspectratio="f"/>
                </v:line>
              </v:group>
            </w:pict>
          </mc:Fallback>
        </mc:AlternateContent>
      </w:r>
      <w:r>
        <w:rPr>
          <w:rFonts w:hint="eastAsia" w:eastAsia="华文中宋"/>
          <w:color w:val="FF0000"/>
          <w:w w:val="80"/>
          <w:sz w:val="72"/>
          <w:szCs w:val="72"/>
        </w:rPr>
        <w:t>东南大学教师教学发展中心</w:t>
      </w:r>
    </w:p>
    <w:p>
      <w:pPr>
        <w:jc w:val="center"/>
        <w:rPr>
          <w:color w:val="000000"/>
          <w:w w:val="80"/>
          <w:sz w:val="24"/>
        </w:rPr>
      </w:pPr>
      <w:r>
        <w:rPr>
          <w:color w:val="000000"/>
          <w:sz w:val="24"/>
        </w:rPr>
        <mc:AlternateContent>
          <mc:Choice Requires="wps">
            <w:drawing>
              <wp:inline distT="0" distB="0" distL="0" distR="0">
                <wp:extent cx="5709285" cy="393700"/>
                <wp:effectExtent l="0" t="0" r="0" b="0"/>
                <wp:docPr id="1" name="AutoShape 1"/>
                <wp:cNvGraphicFramePr/>
                <a:graphic xmlns:a="http://schemas.openxmlformats.org/drawingml/2006/main">
                  <a:graphicData uri="http://schemas.microsoft.com/office/word/2010/wordprocessingShape">
                    <wps:wsp>
                      <wps:cNvSpPr/>
                      <wps:spPr>
                        <a:xfrm>
                          <a:off x="0" y="0"/>
                          <a:ext cx="5709285" cy="393700"/>
                        </a:xfrm>
                        <a:prstGeom prst="rect">
                          <a:avLst/>
                        </a:prstGeom>
                        <a:noFill/>
                        <a:ln w="9525">
                          <a:noFill/>
                        </a:ln>
                      </wps:spPr>
                      <wps:bodyPr vert="horz" wrap="square" upright="1"/>
                    </wps:wsp>
                  </a:graphicData>
                </a:graphic>
              </wp:inline>
            </w:drawing>
          </mc:Choice>
          <mc:Fallback>
            <w:pict>
              <v:rect id="AutoShape 1" o:spid="_x0000_s1026" o:spt="1" style="height:31pt;width:449.55pt;" filled="f" stroked="f" coordsize="21600,21600" o:gfxdata="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GaR/NYAAAAEAQAADwAAAAAAAAABACAAAAAiAAAAZHJzL2Rv&#10;d25yZXYueG1sUEsBAhQAFAAAAAgAh07iQGE3zNKRAQAADgMAAA4AAAAAAAAAAQAgAAAAJQEAAGRy&#10;cy9lMm9Eb2MueG1sUEsFBgAAAAAGAAYAWQEAACgFAAAAAA==&#10;">
                <v:fill on="f" focussize="0,0"/>
                <v:stroke on="f"/>
                <v:imagedata o:title=""/>
                <o:lock v:ext="edit" aspectratio="f"/>
                <w10:wrap type="none"/>
                <w10:anchorlock/>
              </v:rect>
            </w:pict>
          </mc:Fallback>
        </mc:AlternateContent>
      </w:r>
    </w:p>
    <w:p>
      <w:pPr>
        <w:ind w:left="-2" w:leftChars="-1"/>
        <w:jc w:val="center"/>
        <w:rPr>
          <w:rFonts w:ascii="华文仿宋" w:hAnsi="华文仿宋" w:eastAsia="华文仿宋" w:cs="华文仿宋"/>
          <w:b/>
          <w:bCs/>
          <w:color w:val="000000"/>
          <w:sz w:val="36"/>
          <w:szCs w:val="32"/>
        </w:rPr>
      </w:pPr>
      <w:bookmarkStart w:id="0" w:name="主送单位"/>
      <w:bookmarkEnd w:id="0"/>
      <w:r>
        <w:rPr>
          <w:rFonts w:ascii="华文仿宋" w:hAnsi="华文仿宋" w:eastAsia="华文仿宋" w:cs="华文仿宋"/>
          <w:b/>
          <w:bCs/>
          <w:color w:val="000000"/>
          <w:sz w:val="36"/>
          <w:szCs w:val="32"/>
        </w:rPr>
        <w:t>关于做好2018年上半年</w:t>
      </w:r>
      <w:r>
        <w:rPr>
          <w:rFonts w:ascii="华文仿宋" w:hAnsi="华文仿宋" w:eastAsia="华文仿宋" w:cs="华文仿宋"/>
          <w:b/>
          <w:bCs/>
          <w:color w:val="000000"/>
          <w:sz w:val="36"/>
          <w:szCs w:val="32"/>
        </w:rPr>
        <w:br w:type="textWrapping"/>
      </w:r>
      <w:r>
        <w:rPr>
          <w:rFonts w:ascii="华文仿宋" w:hAnsi="华文仿宋" w:eastAsia="华文仿宋" w:cs="华文仿宋"/>
          <w:b/>
          <w:bCs/>
          <w:color w:val="000000"/>
          <w:sz w:val="36"/>
          <w:szCs w:val="32"/>
        </w:rPr>
        <w:t>江苏省高等学校教师岗前培训工作的通知</w:t>
      </w:r>
      <w:bookmarkStart w:id="1" w:name="_GoBack"/>
      <w:bookmarkEnd w:id="1"/>
    </w:p>
    <w:p>
      <w:pPr>
        <w:ind w:left="-2" w:leftChars="-1"/>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各院（系）、各有关部门：</w:t>
      </w:r>
    </w:p>
    <w:p>
      <w:pPr>
        <w:ind w:firstLine="420"/>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根据《省教育厅关于认真做好2018年全省高等学校教师岗前培训工作的通知》（苏教人函[2018]6号）精神，从2018年起，我省高等学校教师岗前培训工作分上、下半年各组织一次。现将我校2018年度上半年岗前培训工作的有关事项通知如下：</w:t>
      </w:r>
    </w:p>
    <w:p>
      <w:pPr>
        <w:ind w:left="-2" w:leftChars="-1"/>
        <w:jc w:val="left"/>
        <w:rPr>
          <w:rFonts w:ascii="华文仿宋" w:hAnsi="华文仿宋" w:eastAsia="华文仿宋" w:cs="华文仿宋"/>
          <w:b/>
          <w:bCs/>
          <w:color w:val="000000"/>
          <w:sz w:val="28"/>
        </w:rPr>
      </w:pPr>
      <w:r>
        <w:rPr>
          <w:rFonts w:hint="eastAsia" w:ascii="华文仿宋" w:hAnsi="华文仿宋" w:eastAsia="华文仿宋" w:cs="华文仿宋"/>
          <w:b/>
          <w:bCs/>
          <w:color w:val="000000"/>
          <w:sz w:val="28"/>
        </w:rPr>
        <w:t>一、培训对象</w:t>
      </w:r>
    </w:p>
    <w:p>
      <w:pPr>
        <w:ind w:firstLine="420"/>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2017年1月1日至今新入职专任教师、辅导员和高等学校拟聘任教的医学附属医院临床教学人员均需参加岗前培训。</w:t>
      </w:r>
    </w:p>
    <w:p>
      <w:pPr>
        <w:ind w:firstLine="420"/>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已取得高等学校教师资格人员可以不参加培训。</w:t>
      </w:r>
    </w:p>
    <w:p>
      <w:pPr>
        <w:numPr>
          <w:ilvl w:val="0"/>
          <w:numId w:val="1"/>
        </w:numPr>
        <w:ind w:left="-2" w:leftChars="-1"/>
        <w:jc w:val="left"/>
        <w:rPr>
          <w:rFonts w:ascii="华文仿宋" w:hAnsi="华文仿宋" w:eastAsia="华文仿宋" w:cs="华文仿宋"/>
          <w:b/>
          <w:bCs/>
          <w:color w:val="000000"/>
          <w:sz w:val="28"/>
        </w:rPr>
      </w:pPr>
      <w:r>
        <w:rPr>
          <w:rFonts w:hint="eastAsia" w:ascii="华文仿宋" w:hAnsi="华文仿宋" w:eastAsia="华文仿宋" w:cs="华文仿宋"/>
          <w:b/>
          <w:bCs/>
          <w:color w:val="000000"/>
          <w:sz w:val="28"/>
        </w:rPr>
        <w:t>培训内容及形式</w:t>
      </w:r>
    </w:p>
    <w:p>
      <w:pPr>
        <w:ind w:firstLine="420"/>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岗前培训内容包括：教师职业道德规范、教育政策法规、现代教育理论、教育教学基本技能等。培训过程中，使用2017版培训教材（包括《高等教育政策与法规》《高校教师职业道德规范》《高等教育学》和《高等教育心理学》）。培训采取省网络培训、校本培训和个人自学相结合的方式进行。培训对象参加网络培训的四门课总学时不得少于110学时。</w:t>
      </w:r>
    </w:p>
    <w:p>
      <w:pPr>
        <w:numPr>
          <w:ilvl w:val="0"/>
          <w:numId w:val="1"/>
        </w:numPr>
        <w:ind w:left="-2" w:leftChars="-1"/>
        <w:jc w:val="left"/>
        <w:rPr>
          <w:rFonts w:ascii="华文仿宋" w:hAnsi="华文仿宋" w:eastAsia="华文仿宋" w:cs="华文仿宋"/>
          <w:b/>
          <w:bCs/>
          <w:color w:val="000000"/>
          <w:sz w:val="28"/>
        </w:rPr>
      </w:pPr>
      <w:r>
        <w:rPr>
          <w:rFonts w:hint="eastAsia" w:ascii="华文仿宋" w:hAnsi="华文仿宋" w:eastAsia="华文仿宋" w:cs="华文仿宋"/>
          <w:b/>
          <w:bCs/>
          <w:color w:val="000000"/>
          <w:sz w:val="28"/>
        </w:rPr>
        <w:t>培训考试</w:t>
      </w:r>
    </w:p>
    <w:p>
      <w:pPr>
        <w:ind w:firstLine="420"/>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学员在完成规定学时后，需参加省统一考试，考试科目与教材名称一致。考试由省高校师资培训中心（以下简称省师培中心）根据《高等学校教师岗前培训教学指导纲要》组织统一命题，以新版教材和网络授课内容为主。其中《高等教育政策与法规》、《高等教育学》和《高等教育心理学》三门闭卷，《高校教师职业道德规范》开卷。总分100分，60分及以上为合格。岗前培训考试科目全部（含免考科目）合格者，发给岗前培训合格证。考试科目未全部合格者，须参加补考，补考成绩合格后发给合格证书。</w:t>
      </w:r>
    </w:p>
    <w:p>
      <w:pPr>
        <w:ind w:firstLine="420"/>
        <w:jc w:val="left"/>
        <w:rPr>
          <w:rFonts w:hint="eastAsia" w:ascii="华文仿宋" w:hAnsi="华文仿宋" w:eastAsia="华文仿宋" w:cs="华文仿宋"/>
          <w:color w:val="000000"/>
          <w:sz w:val="28"/>
        </w:rPr>
      </w:pPr>
      <w:r>
        <w:rPr>
          <w:rFonts w:hint="eastAsia" w:ascii="华文仿宋" w:hAnsi="华文仿宋" w:eastAsia="华文仿宋" w:cs="华文仿宋"/>
          <w:color w:val="000000"/>
          <w:sz w:val="28"/>
        </w:rPr>
        <w:t>岗前培训的考试成绩记入教师个人业务档案，岗前培训考试合格证是申请教师资格、职务聘任的必备条件之一。</w:t>
      </w:r>
    </w:p>
    <w:p>
      <w:pPr>
        <w:ind w:left="-2" w:leftChars="-1"/>
        <w:jc w:val="left"/>
        <w:rPr>
          <w:rFonts w:ascii="华文仿宋" w:hAnsi="华文仿宋" w:eastAsia="华文仿宋" w:cs="华文仿宋"/>
          <w:b/>
          <w:bCs/>
          <w:color w:val="000000"/>
          <w:sz w:val="28"/>
        </w:rPr>
      </w:pPr>
      <w:r>
        <w:rPr>
          <w:rFonts w:hint="eastAsia" w:ascii="华文仿宋" w:hAnsi="华文仿宋" w:eastAsia="华文仿宋" w:cs="华文仿宋"/>
          <w:b/>
          <w:bCs/>
          <w:color w:val="000000"/>
          <w:sz w:val="28"/>
        </w:rPr>
        <w:t>四、时间安排</w:t>
      </w:r>
    </w:p>
    <w:p>
      <w:pPr>
        <w:ind w:left="-2" w:leftChars="-1"/>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（一）报名时间。按照省培训中心要求，参加岗前培训的老师教材与考试费用需按学校统一缴纳，因此在 3月24日-4月1日内本校需参加岗前培训的教师在本中心网站上进行预报名，4月2日-10日本校按照校内报名情况进行统一费用收缴。4月5日-12日中心按照校内报名汇总表统一登录省报名系统报名。</w:t>
      </w:r>
    </w:p>
    <w:p>
      <w:pPr>
        <w:ind w:firstLine="420"/>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凡以前参加高校教师岗前培训考试未全部通过者，可直接参加2018年岗前培训考试，请在填写考试报名信息时在备注栏内注明 “补考”，并将补考者已通过科目的成绩填写在相应的考试科目栏中。2016年以来（含2016年）在考试中被通报作弊的考生不得报名参加考试。各校人事部门在组织报名时要严格按要求审核，一经发现作弊考生违规报考，要严肃追究所在学校审核人员责任。</w:t>
      </w:r>
    </w:p>
    <w:p>
      <w:pPr>
        <w:numPr>
          <w:ilvl w:val="0"/>
          <w:numId w:val="2"/>
        </w:numPr>
        <w:ind w:left="-2" w:leftChars="-1"/>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培训时间。从新教师获得培训账号起一年内均可参加培训。</w:t>
      </w:r>
    </w:p>
    <w:p>
      <w:pPr>
        <w:numPr>
          <w:ilvl w:val="0"/>
          <w:numId w:val="2"/>
        </w:numPr>
        <w:ind w:left="-2" w:leftChars="-1"/>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考试时间。全省统一考试上半年：7月7日-8日，各科目的具体考试时间和地点以准考证上标注的为准。考试成绩将于考试结束后20个工作日内公布。</w:t>
      </w:r>
    </w:p>
    <w:p>
      <w:pPr>
        <w:ind w:left="-2" w:leftChars="-1"/>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（四）其它时间。中心将于4月20日-5月13日期间统一将教材发放到各院系单位。</w:t>
      </w:r>
    </w:p>
    <w:p>
      <w:pPr>
        <w:ind w:left="-2" w:leftChars="-1"/>
        <w:jc w:val="left"/>
        <w:rPr>
          <w:rFonts w:ascii="华文仿宋" w:hAnsi="华文仿宋" w:eastAsia="华文仿宋" w:cs="华文仿宋"/>
          <w:b/>
          <w:color w:val="000000"/>
          <w:sz w:val="28"/>
        </w:rPr>
      </w:pPr>
      <w:r>
        <w:rPr>
          <w:rFonts w:hint="eastAsia" w:ascii="华文仿宋" w:hAnsi="华文仿宋" w:eastAsia="华文仿宋" w:cs="华文仿宋"/>
          <w:b/>
          <w:color w:val="000000"/>
          <w:sz w:val="28"/>
        </w:rPr>
        <w:t>五、培训费用</w:t>
      </w:r>
    </w:p>
    <w:p>
      <w:pPr>
        <w:ind w:left="-2" w:leftChars="-1" w:firstLine="422"/>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岗前培训项目收费按苏教办师〔2007〕31号文件执行，具体列示如下：</w:t>
      </w:r>
    </w:p>
    <w:p>
      <w:pPr>
        <w:ind w:left="-2" w:leftChars="-1" w:firstLine="422"/>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1.岗前培训考试费20元/门。</w:t>
      </w:r>
    </w:p>
    <w:p>
      <w:pPr>
        <w:ind w:left="-2" w:leftChars="-1" w:firstLine="422"/>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2.培训费每人320元（四门）。</w:t>
      </w:r>
    </w:p>
    <w:p>
      <w:pPr>
        <w:ind w:left="-2" w:leftChars="-1" w:firstLine="422"/>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3.培训教材报名时预先订购，具体费用待省师培中心通知再行收取。</w:t>
      </w:r>
    </w:p>
    <w:p>
      <w:pPr>
        <w:ind w:left="-2" w:leftChars="-1" w:firstLine="422"/>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首次参加岗前培训的校内在岗专职教师培训费用由学校承担，本人承担四门课程考试费共80元；补考人员费用由本人承担（直接参加考试，单科考试费20元；如自愿报名参加培训，单科培训费80元）。 教材费用全部由本人承担。</w:t>
      </w:r>
    </w:p>
    <w:p>
      <w:pPr>
        <w:ind w:left="-2" w:leftChars="-1"/>
        <w:jc w:val="left"/>
        <w:rPr>
          <w:rFonts w:ascii="华文仿宋" w:hAnsi="华文仿宋" w:eastAsia="华文仿宋" w:cs="华文仿宋"/>
          <w:b/>
          <w:bCs/>
          <w:color w:val="000000"/>
          <w:sz w:val="28"/>
        </w:rPr>
      </w:pPr>
      <w:r>
        <w:rPr>
          <w:rFonts w:hint="eastAsia" w:ascii="华文仿宋" w:hAnsi="华文仿宋" w:eastAsia="华文仿宋" w:cs="华文仿宋"/>
          <w:b/>
          <w:bCs/>
          <w:color w:val="000000"/>
          <w:sz w:val="28"/>
        </w:rPr>
        <w:t>六、联系方式</w:t>
      </w:r>
    </w:p>
    <w:p>
      <w:pPr>
        <w:ind w:left="5040" w:hanging="5040" w:hangingChars="1800"/>
        <w:jc w:val="left"/>
        <w:rPr>
          <w:rFonts w:ascii="华文仿宋" w:hAnsi="华文仿宋" w:eastAsia="华文仿宋" w:cs="华文仿宋"/>
          <w:color w:val="000000"/>
          <w:sz w:val="24"/>
          <w:szCs w:val="22"/>
        </w:rPr>
      </w:pPr>
      <w:r>
        <w:rPr>
          <w:rFonts w:hint="eastAsia" w:ascii="华文仿宋" w:hAnsi="华文仿宋" w:eastAsia="华文仿宋" w:cs="华文仿宋"/>
          <w:color w:val="000000"/>
          <w:sz w:val="28"/>
        </w:rPr>
        <w:t xml:space="preserve">校内报名网址 </w:t>
      </w:r>
      <w:r>
        <w:fldChar w:fldCharType="begin"/>
      </w:r>
      <w:r>
        <w:instrText xml:space="preserve"> HYPERLINK "http://cfd.seu.edu.cn/2018/0321/c15386a210061/page.htm" </w:instrText>
      </w:r>
      <w:r>
        <w:fldChar w:fldCharType="separate"/>
      </w:r>
      <w:r>
        <w:rPr>
          <w:rStyle w:val="9"/>
          <w:rFonts w:hint="eastAsia" w:ascii="华文仿宋" w:hAnsi="华文仿宋" w:eastAsia="华文仿宋" w:cs="华文仿宋"/>
          <w:color w:val="000000"/>
          <w:sz w:val="24"/>
          <w:szCs w:val="22"/>
        </w:rPr>
        <w:t>http://cfd.seu.edu.cn/2018/0321/c15386a210061/page.htm</w:t>
      </w:r>
      <w:r>
        <w:rPr>
          <w:rStyle w:val="9"/>
          <w:rFonts w:hint="eastAsia" w:ascii="华文仿宋" w:hAnsi="华文仿宋" w:eastAsia="华文仿宋" w:cs="华文仿宋"/>
          <w:color w:val="000000"/>
          <w:sz w:val="24"/>
          <w:szCs w:val="22"/>
        </w:rPr>
        <w:fldChar w:fldCharType="end"/>
      </w:r>
      <w:r>
        <w:rPr>
          <w:rFonts w:hint="eastAsia" w:ascii="华文仿宋" w:hAnsi="华文仿宋" w:eastAsia="华文仿宋" w:cs="华文仿宋"/>
          <w:color w:val="000000"/>
          <w:sz w:val="24"/>
          <w:szCs w:val="22"/>
        </w:rPr>
        <w:t xml:space="preserve">   </w:t>
      </w:r>
    </w:p>
    <w:p>
      <w:pPr>
        <w:ind w:left="4445" w:leftChars="850" w:hanging="2660" w:hangingChars="950"/>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（3月24日-4月1日开通）</w:t>
      </w:r>
    </w:p>
    <w:p>
      <w:pPr>
        <w:jc w:val="left"/>
        <w:rPr>
          <w:rFonts w:ascii="华文仿宋" w:hAnsi="华文仿宋" w:eastAsia="华文仿宋" w:cs="华文仿宋"/>
          <w:color w:val="000000"/>
          <w:sz w:val="28"/>
        </w:rPr>
      </w:pPr>
      <w:r>
        <w:rPr>
          <w:rFonts w:hint="eastAsia" w:ascii="华文仿宋" w:hAnsi="华文仿宋" w:eastAsia="华文仿宋" w:cs="华文仿宋"/>
          <w:color w:val="000000"/>
          <w:sz w:val="28"/>
        </w:rPr>
        <w:t>联系人：杨安康 83790218（四牌楼）52090223（九龙湖）</w:t>
      </w:r>
    </w:p>
    <w:p>
      <w:pPr>
        <w:jc w:val="left"/>
        <w:rPr>
          <w:rFonts w:ascii="华文仿宋" w:hAnsi="华文仿宋" w:eastAsia="华文仿宋" w:cs="华文仿宋"/>
          <w:color w:val="000000"/>
          <w:sz w:val="28"/>
        </w:rPr>
      </w:pPr>
      <w:r>
        <w:rPr>
          <w:rFonts w:ascii="华文仿宋" w:hAnsi="华文仿宋" w:eastAsia="华文仿宋" w:cs="华文仿宋"/>
          <w:color w:val="000000"/>
          <w:sz w:val="28"/>
        </w:rPr>
        <w:t>邮箱</w:t>
      </w:r>
      <w:r>
        <w:rPr>
          <w:rFonts w:hint="eastAsia" w:ascii="华文仿宋" w:hAnsi="华文仿宋" w:eastAsia="华文仿宋" w:cs="华文仿宋"/>
          <w:color w:val="000000"/>
          <w:sz w:val="28"/>
        </w:rPr>
        <w:t>：</w:t>
      </w:r>
      <w:r>
        <w:rPr>
          <w:rStyle w:val="9"/>
          <w:rFonts w:hint="eastAsia" w:ascii="华文仿宋" w:hAnsi="华文仿宋" w:eastAsia="华文仿宋" w:cs="华文仿宋"/>
          <w:color w:val="000000"/>
          <w:sz w:val="28"/>
        </w:rPr>
        <w:t>cfd@pub.seu.edu.cn</w:t>
      </w:r>
      <w:r>
        <w:rPr>
          <w:rStyle w:val="9"/>
          <w:rFonts w:hint="eastAsia" w:ascii="华文仿宋" w:hAnsi="华文仿宋" w:eastAsia="华文仿宋" w:cs="华文仿宋"/>
          <w:color w:val="000000"/>
          <w:sz w:val="28"/>
          <w:u w:val="none"/>
        </w:rPr>
        <w:t>，</w:t>
      </w:r>
      <w:r>
        <w:rPr>
          <w:rFonts w:hint="eastAsia" w:ascii="华文仿宋" w:hAnsi="华文仿宋" w:eastAsia="华文仿宋" w:cs="华文仿宋"/>
          <w:color w:val="000000"/>
          <w:sz w:val="28"/>
        </w:rPr>
        <w:t xml:space="preserve"> 邮件主题：2018年上半年岗前培训</w:t>
      </w:r>
    </w:p>
    <w:p>
      <w:pPr>
        <w:jc w:val="left"/>
        <w:rPr>
          <w:rFonts w:ascii="华文仿宋" w:hAnsi="华文仿宋" w:eastAsia="华文仿宋" w:cs="华文仿宋"/>
          <w:color w:val="000000"/>
          <w:sz w:val="28"/>
        </w:rPr>
      </w:pPr>
    </w:p>
    <w:p>
      <w:pPr>
        <w:ind w:left="-2" w:leftChars="-1"/>
        <w:jc w:val="right"/>
        <w:rPr>
          <w:rFonts w:ascii="华文仿宋" w:hAnsi="华文仿宋" w:eastAsia="华文仿宋" w:cs="华文仿宋"/>
          <w:color w:val="000000"/>
          <w:sz w:val="28"/>
        </w:rPr>
      </w:pPr>
      <w:r>
        <w:rPr>
          <w:rFonts w:hint="eastAsia" w:ascii="华文仿宋" w:hAnsi="华文仿宋" w:eastAsia="华文仿宋" w:cs="华文仿宋"/>
          <w:color w:val="000000"/>
          <w:sz w:val="28"/>
        </w:rPr>
        <w:t>校教师教学发展中心</w:t>
      </w:r>
    </w:p>
    <w:p>
      <w:pPr>
        <w:ind w:left="-2" w:leftChars="-1"/>
        <w:jc w:val="right"/>
        <w:rPr>
          <w:rFonts w:ascii="华文仿宋" w:hAnsi="华文仿宋" w:eastAsia="华文仿宋" w:cs="华文仿宋"/>
          <w:color w:val="000000"/>
          <w:sz w:val="28"/>
        </w:rPr>
      </w:pPr>
      <w:r>
        <w:rPr>
          <w:rFonts w:hint="eastAsia" w:ascii="华文仿宋" w:hAnsi="华文仿宋" w:eastAsia="华文仿宋" w:cs="华文仿宋"/>
          <w:color w:val="000000"/>
          <w:sz w:val="28"/>
        </w:rPr>
        <w:t>2018年3月21日</w:t>
      </w:r>
    </w:p>
    <w:p>
      <w:pPr>
        <w:ind w:left="-2" w:leftChars="-1"/>
        <w:jc w:val="left"/>
        <w:rPr>
          <w:rFonts w:ascii="Adobe 仿宋 Std R" w:hAnsi="Adobe 仿宋 Std R" w:eastAsia="Adobe 仿宋 Std R"/>
          <w:color w:val="000000"/>
          <w:sz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37" w:bottom="1134" w:left="16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dobe 仿宋 Std R">
    <w:altName w:val="Arial Unicode MS"/>
    <w:panose1 w:val="020B0604020202020204"/>
    <w:charset w:val="50"/>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50"/>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44420971"/>
      <w:docPartObj>
        <w:docPartGallery w:val="autotext"/>
      </w:docPartObj>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3</w:t>
        </w:r>
        <w:r>
          <w:rPr>
            <w:rStyle w:val="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052953213"/>
      <w:docPartObj>
        <w:docPartGallery w:val="autotext"/>
      </w:docPartObj>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0CE84"/>
    <w:multiLevelType w:val="multilevel"/>
    <w:tmpl w:val="5A90CE84"/>
    <w:lvl w:ilvl="0" w:tentative="0">
      <w:start w:val="2"/>
      <w:numFmt w:val="chineseCounting"/>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5AB21CF3"/>
    <w:multiLevelType w:val="singleLevel"/>
    <w:tmpl w:val="5AB21CF3"/>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B72BFC"/>
    <w:rsid w:val="00064ED6"/>
    <w:rsid w:val="000D7F94"/>
    <w:rsid w:val="001016C0"/>
    <w:rsid w:val="0012399D"/>
    <w:rsid w:val="001B569B"/>
    <w:rsid w:val="001B731D"/>
    <w:rsid w:val="00201B9C"/>
    <w:rsid w:val="002441A8"/>
    <w:rsid w:val="002659A4"/>
    <w:rsid w:val="00290D7C"/>
    <w:rsid w:val="002A11C4"/>
    <w:rsid w:val="002E4C16"/>
    <w:rsid w:val="00320453"/>
    <w:rsid w:val="003437D7"/>
    <w:rsid w:val="00366E3A"/>
    <w:rsid w:val="00394341"/>
    <w:rsid w:val="00396057"/>
    <w:rsid w:val="004148D7"/>
    <w:rsid w:val="00465446"/>
    <w:rsid w:val="00473A0E"/>
    <w:rsid w:val="004B2E36"/>
    <w:rsid w:val="004C7CBE"/>
    <w:rsid w:val="005468D5"/>
    <w:rsid w:val="0057112D"/>
    <w:rsid w:val="005C0180"/>
    <w:rsid w:val="00636667"/>
    <w:rsid w:val="006715AB"/>
    <w:rsid w:val="006745EB"/>
    <w:rsid w:val="006D7442"/>
    <w:rsid w:val="00712774"/>
    <w:rsid w:val="00733726"/>
    <w:rsid w:val="00754122"/>
    <w:rsid w:val="0075428D"/>
    <w:rsid w:val="00764AFA"/>
    <w:rsid w:val="007A63AC"/>
    <w:rsid w:val="007D25F1"/>
    <w:rsid w:val="007D4EAE"/>
    <w:rsid w:val="007E02D7"/>
    <w:rsid w:val="007F3D07"/>
    <w:rsid w:val="00817EB1"/>
    <w:rsid w:val="008C4BDA"/>
    <w:rsid w:val="009549C9"/>
    <w:rsid w:val="009834AA"/>
    <w:rsid w:val="009E19F6"/>
    <w:rsid w:val="009E5B1E"/>
    <w:rsid w:val="009F3D66"/>
    <w:rsid w:val="009F7615"/>
    <w:rsid w:val="00A16B95"/>
    <w:rsid w:val="00A323B0"/>
    <w:rsid w:val="00A5081C"/>
    <w:rsid w:val="00B03901"/>
    <w:rsid w:val="00B35B8E"/>
    <w:rsid w:val="00B63D7B"/>
    <w:rsid w:val="00B74C08"/>
    <w:rsid w:val="00BB5209"/>
    <w:rsid w:val="00BC0E15"/>
    <w:rsid w:val="00C163BB"/>
    <w:rsid w:val="00C164B0"/>
    <w:rsid w:val="00C212B1"/>
    <w:rsid w:val="00C21F64"/>
    <w:rsid w:val="00C34E93"/>
    <w:rsid w:val="00C45633"/>
    <w:rsid w:val="00C6654E"/>
    <w:rsid w:val="00CA3C08"/>
    <w:rsid w:val="00CA545A"/>
    <w:rsid w:val="00CC48F8"/>
    <w:rsid w:val="00D27E79"/>
    <w:rsid w:val="00D40A4A"/>
    <w:rsid w:val="00D421CD"/>
    <w:rsid w:val="00D478B2"/>
    <w:rsid w:val="00D961C7"/>
    <w:rsid w:val="00DB6F23"/>
    <w:rsid w:val="00E30EA3"/>
    <w:rsid w:val="00E77DC6"/>
    <w:rsid w:val="00E97872"/>
    <w:rsid w:val="00EC2952"/>
    <w:rsid w:val="00EE1403"/>
    <w:rsid w:val="00EE5A72"/>
    <w:rsid w:val="00F0669F"/>
    <w:rsid w:val="00F11AFF"/>
    <w:rsid w:val="00F33281"/>
    <w:rsid w:val="00F529A1"/>
    <w:rsid w:val="00F811F9"/>
    <w:rsid w:val="00FF5A95"/>
    <w:rsid w:val="01B846A5"/>
    <w:rsid w:val="055721C8"/>
    <w:rsid w:val="056B0914"/>
    <w:rsid w:val="085B30FF"/>
    <w:rsid w:val="0C5235F3"/>
    <w:rsid w:val="0CFE48C2"/>
    <w:rsid w:val="10412AE7"/>
    <w:rsid w:val="130D795B"/>
    <w:rsid w:val="13851338"/>
    <w:rsid w:val="1AB72BFC"/>
    <w:rsid w:val="1B010264"/>
    <w:rsid w:val="1D6F1C2C"/>
    <w:rsid w:val="1E8B042B"/>
    <w:rsid w:val="1EB6783C"/>
    <w:rsid w:val="1F0874B0"/>
    <w:rsid w:val="223C462A"/>
    <w:rsid w:val="23225D32"/>
    <w:rsid w:val="30E85090"/>
    <w:rsid w:val="32E9037C"/>
    <w:rsid w:val="3718312B"/>
    <w:rsid w:val="4518297E"/>
    <w:rsid w:val="45C32F19"/>
    <w:rsid w:val="49CC4C5C"/>
    <w:rsid w:val="4D5230AE"/>
    <w:rsid w:val="4EE375C2"/>
    <w:rsid w:val="4FED55C7"/>
    <w:rsid w:val="52803907"/>
    <w:rsid w:val="52CE02C1"/>
    <w:rsid w:val="538155BD"/>
    <w:rsid w:val="547F784E"/>
    <w:rsid w:val="569A5C19"/>
    <w:rsid w:val="5A990F72"/>
    <w:rsid w:val="5AF51844"/>
    <w:rsid w:val="5DB677B0"/>
    <w:rsid w:val="65034DFD"/>
    <w:rsid w:val="65060BEE"/>
    <w:rsid w:val="6C6C0C21"/>
    <w:rsid w:val="721E01AD"/>
    <w:rsid w:val="73476A52"/>
    <w:rsid w:val="75E63F94"/>
    <w:rsid w:val="770823DA"/>
    <w:rsid w:val="77BC28B7"/>
    <w:rsid w:val="7B8A5516"/>
    <w:rsid w:val="7DF666FE"/>
    <w:rsid w:val="7F47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400" w:lineRule="exact"/>
      <w:ind w:firstLine="434" w:firstLineChars="181"/>
    </w:pPr>
    <w:rPr>
      <w:color w:val="000000"/>
      <w:sz w:val="24"/>
      <w:szCs w:val="27"/>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character" w:customStyle="1" w:styleId="14">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pple\AppData\Roaming\kingsoft\office6\templates\wps\zh_CN\&#25945;&#24072;&#25945;&#23398;&#21457;&#23637;&#20013;&#24515;-&#32418;&#22836;&#27169;&#26495;_200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C:\Users\apple\AppData\Roaming\kingsoft\office6\templates\wps\zh_CN\教师教学发展中心-红头模板_2007.wpt</Template>
  <Company>东南大学</Company>
  <Pages>3</Pages>
  <Words>245</Words>
  <Characters>1401</Characters>
  <Lines>11</Lines>
  <Paragraphs>3</Paragraphs>
  <ScaleCrop>false</ScaleCrop>
  <LinksUpToDate>false</LinksUpToDate>
  <CharactersWithSpaces>1643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2018-03-21T12:54:00Z</dcterms:created>
  <dc:creator>杨安康</dc:creator>
  <cp:lastModifiedBy>顾玉剑</cp:lastModifiedBy>
  <dcterms:modified xsi:type="dcterms:W3CDTF">2018-03-22T02:45:20Z</dcterms:modified>
  <dc:title>   东南大学教师教学发展中心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