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sz w:val="32"/>
          <w:szCs w:val="32"/>
          <w:lang w:eastAsia="zh-CN"/>
        </w:rPr>
      </w:pPr>
      <w:r>
        <w:rPr>
          <w:rFonts w:hint="eastAsia"/>
          <w:sz w:val="32"/>
          <w:szCs w:val="32"/>
        </w:rPr>
        <w:t>20</w:t>
      </w:r>
      <w:r>
        <w:rPr>
          <w:rFonts w:hint="eastAsia"/>
          <w:sz w:val="32"/>
          <w:szCs w:val="32"/>
          <w:lang w:val="en-US" w:eastAsia="zh-CN"/>
        </w:rPr>
        <w:t>20</w:t>
      </w:r>
      <w:r>
        <w:rPr>
          <w:rFonts w:hint="eastAsia"/>
          <w:sz w:val="32"/>
          <w:szCs w:val="32"/>
        </w:rPr>
        <w:t>级工商管理类学生综合素质分考评办法（暂行）</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b w:val="0"/>
          <w:bCs w:val="0"/>
          <w:sz w:val="28"/>
          <w:szCs w:val="28"/>
        </w:rPr>
      </w:pPr>
      <w:r>
        <w:rPr>
          <w:rFonts w:hint="eastAsia"/>
          <w:b w:val="0"/>
          <w:bCs w:val="0"/>
          <w:sz w:val="28"/>
          <w:szCs w:val="28"/>
        </w:rPr>
        <w:t>为进一步加强学生的规范化管理，鼓励学生全面发展综合能力，保护学生参与集体活动的积极性，同时为评奖、评优和推免工作提供参考依据，</w:t>
      </w:r>
      <w:r>
        <w:rPr>
          <w:rFonts w:hint="eastAsia"/>
          <w:b w:val="0"/>
          <w:bCs w:val="0"/>
          <w:sz w:val="28"/>
          <w:szCs w:val="28"/>
          <w:lang w:eastAsia="zh-CN"/>
        </w:rPr>
        <w:t>参照</w:t>
      </w:r>
      <w:r>
        <w:rPr>
          <w:rFonts w:hint="eastAsia"/>
          <w:sz w:val="28"/>
          <w:szCs w:val="28"/>
          <w:lang w:val="en-US" w:eastAsia="zh-CN"/>
        </w:rPr>
        <w:t>专业分流综合能力评价细则，特</w:t>
      </w:r>
      <w:r>
        <w:rPr>
          <w:rFonts w:hint="eastAsia"/>
          <w:b w:val="0"/>
          <w:bCs w:val="0"/>
          <w:sz w:val="28"/>
          <w:szCs w:val="28"/>
        </w:rPr>
        <w:t>制定</w:t>
      </w:r>
      <w:r>
        <w:rPr>
          <w:rFonts w:hint="eastAsia"/>
          <w:b w:val="0"/>
          <w:bCs w:val="0"/>
          <w:sz w:val="28"/>
          <w:szCs w:val="28"/>
          <w:lang w:val="en-US" w:eastAsia="zh-CN"/>
        </w:rPr>
        <w:t>2020级工商管理类</w:t>
      </w:r>
      <w:r>
        <w:rPr>
          <w:rFonts w:hint="eastAsia"/>
          <w:b w:val="0"/>
          <w:bCs w:val="0"/>
          <w:sz w:val="28"/>
          <w:szCs w:val="28"/>
        </w:rPr>
        <w:t>学生综合素质分考评办法。</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b/>
          <w:bCs/>
          <w:sz w:val="28"/>
          <w:szCs w:val="28"/>
        </w:rPr>
      </w:pPr>
      <w:r>
        <w:rPr>
          <w:rFonts w:hint="eastAsia"/>
          <w:b/>
          <w:bCs/>
          <w:sz w:val="28"/>
          <w:szCs w:val="28"/>
        </w:rPr>
        <w:t>一、适用范围</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b w:val="0"/>
          <w:bCs w:val="0"/>
          <w:sz w:val="28"/>
          <w:szCs w:val="28"/>
        </w:rPr>
      </w:pPr>
      <w:r>
        <w:rPr>
          <w:rFonts w:hint="eastAsia"/>
          <w:b w:val="0"/>
          <w:bCs w:val="0"/>
          <w:sz w:val="28"/>
          <w:szCs w:val="28"/>
        </w:rPr>
        <w:t>1、素质分作为各类评定项目，例如：各类奖助学金、个人荣誉评奖评优等的评审依据。</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b w:val="0"/>
          <w:bCs w:val="0"/>
          <w:sz w:val="28"/>
          <w:szCs w:val="28"/>
        </w:rPr>
      </w:pPr>
      <w:r>
        <w:rPr>
          <w:rFonts w:hint="eastAsia"/>
          <w:b w:val="0"/>
          <w:bCs w:val="0"/>
          <w:sz w:val="28"/>
          <w:szCs w:val="28"/>
        </w:rPr>
        <w:t>2、本考评办法仅限工商管理类20</w:t>
      </w:r>
      <w:r>
        <w:rPr>
          <w:rFonts w:hint="eastAsia"/>
          <w:b w:val="0"/>
          <w:bCs w:val="0"/>
          <w:sz w:val="28"/>
          <w:szCs w:val="28"/>
          <w:lang w:val="en-US" w:eastAsia="zh-CN"/>
        </w:rPr>
        <w:t>20</w:t>
      </w:r>
      <w:r>
        <w:rPr>
          <w:rFonts w:hint="eastAsia"/>
          <w:b w:val="0"/>
          <w:bCs w:val="0"/>
          <w:sz w:val="28"/>
          <w:szCs w:val="28"/>
        </w:rPr>
        <w:t>级学生20</w:t>
      </w:r>
      <w:r>
        <w:rPr>
          <w:rFonts w:hint="eastAsia"/>
          <w:b w:val="0"/>
          <w:bCs w:val="0"/>
          <w:sz w:val="28"/>
          <w:szCs w:val="28"/>
          <w:lang w:val="en-US" w:eastAsia="zh-CN"/>
        </w:rPr>
        <w:t>20</w:t>
      </w:r>
      <w:r>
        <w:rPr>
          <w:rFonts w:hint="eastAsia"/>
          <w:b w:val="0"/>
          <w:bCs w:val="0"/>
          <w:sz w:val="28"/>
          <w:szCs w:val="28"/>
        </w:rPr>
        <w:t>-20</w:t>
      </w:r>
      <w:r>
        <w:rPr>
          <w:rFonts w:hint="eastAsia"/>
          <w:b w:val="0"/>
          <w:bCs w:val="0"/>
          <w:sz w:val="28"/>
          <w:szCs w:val="28"/>
          <w:lang w:val="en-US" w:eastAsia="zh-CN"/>
        </w:rPr>
        <w:t>21</w:t>
      </w:r>
      <w:r>
        <w:rPr>
          <w:rFonts w:hint="eastAsia"/>
          <w:b w:val="0"/>
          <w:bCs w:val="0"/>
          <w:sz w:val="28"/>
          <w:szCs w:val="28"/>
        </w:rPr>
        <w:t>学年使用；</w:t>
      </w:r>
    </w:p>
    <w:p>
      <w:pPr>
        <w:ind w:firstLine="562" w:firstLineChars="200"/>
        <w:rPr>
          <w:rFonts w:hint="eastAsia"/>
          <w:b/>
          <w:bCs/>
          <w:sz w:val="28"/>
          <w:szCs w:val="28"/>
        </w:rPr>
      </w:pPr>
      <w:r>
        <w:rPr>
          <w:rFonts w:hint="eastAsia"/>
          <w:b/>
          <w:bCs/>
          <w:sz w:val="28"/>
          <w:szCs w:val="28"/>
        </w:rPr>
        <w:t>二、 计分项目</w:t>
      </w:r>
    </w:p>
    <w:p>
      <w:pPr>
        <w:ind w:firstLine="281" w:firstLineChars="100"/>
        <w:jc w:val="both"/>
        <w:rPr>
          <w:rFonts w:hint="eastAsia"/>
          <w:sz w:val="28"/>
          <w:szCs w:val="28"/>
        </w:rPr>
      </w:pPr>
      <w:r>
        <w:rPr>
          <w:rFonts w:hint="eastAsia"/>
          <w:b/>
          <w:bCs/>
          <w:sz w:val="28"/>
          <w:szCs w:val="28"/>
          <w:lang w:eastAsia="zh-CN"/>
        </w:rPr>
        <w:t>（一）</w:t>
      </w:r>
      <w:r>
        <w:rPr>
          <w:rFonts w:hint="eastAsia"/>
          <w:b/>
          <w:bCs/>
          <w:sz w:val="28"/>
          <w:szCs w:val="28"/>
        </w:rPr>
        <w:t>学术类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5"/>
        <w:gridCol w:w="5433"/>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95" w:type="dxa"/>
          </w:tcPr>
          <w:p>
            <w:pPr>
              <w:pStyle w:val="7"/>
              <w:spacing w:before="152"/>
              <w:ind w:left="386"/>
              <w:rPr>
                <w:sz w:val="24"/>
                <w:szCs w:val="28"/>
              </w:rPr>
            </w:pPr>
            <w:r>
              <w:rPr>
                <w:sz w:val="24"/>
                <w:szCs w:val="28"/>
              </w:rPr>
              <w:t>类别</w:t>
            </w:r>
          </w:p>
        </w:tc>
        <w:tc>
          <w:tcPr>
            <w:tcW w:w="5433" w:type="dxa"/>
            <w:vAlign w:val="center"/>
          </w:tcPr>
          <w:p>
            <w:pPr>
              <w:pStyle w:val="7"/>
              <w:spacing w:before="152"/>
              <w:ind w:right="2476"/>
              <w:jc w:val="center"/>
              <w:rPr>
                <w:rFonts w:hint="eastAsia" w:eastAsia="仿宋"/>
                <w:sz w:val="24"/>
                <w:szCs w:val="28"/>
                <w:lang w:eastAsia="zh-CN"/>
              </w:rPr>
            </w:pPr>
            <w:r>
              <w:rPr>
                <w:rFonts w:hint="eastAsia"/>
                <w:sz w:val="24"/>
                <w:szCs w:val="28"/>
                <w:lang w:eastAsia="zh-CN"/>
              </w:rPr>
              <w:t>等级</w:t>
            </w:r>
          </w:p>
        </w:tc>
        <w:tc>
          <w:tcPr>
            <w:tcW w:w="1135" w:type="dxa"/>
          </w:tcPr>
          <w:p>
            <w:pPr>
              <w:pStyle w:val="7"/>
              <w:spacing w:before="152"/>
              <w:ind w:right="325"/>
              <w:jc w:val="center"/>
              <w:rPr>
                <w:sz w:val="24"/>
                <w:szCs w:val="28"/>
              </w:rPr>
            </w:pPr>
            <w:r>
              <w:rPr>
                <w:sz w:val="24"/>
                <w:szCs w:val="28"/>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95" w:type="dxa"/>
            <w:vMerge w:val="restart"/>
            <w:vAlign w:val="center"/>
          </w:tcPr>
          <w:p>
            <w:pPr>
              <w:pStyle w:val="7"/>
              <w:ind w:left="0" w:leftChars="0" w:firstLine="0" w:firstLineChars="0"/>
              <w:jc w:val="center"/>
              <w:rPr>
                <w:sz w:val="24"/>
                <w:szCs w:val="28"/>
              </w:rPr>
            </w:pPr>
            <w:r>
              <w:rPr>
                <w:sz w:val="24"/>
                <w:szCs w:val="28"/>
              </w:rPr>
              <w:t>学科竞赛</w:t>
            </w:r>
          </w:p>
        </w:tc>
        <w:tc>
          <w:tcPr>
            <w:tcW w:w="5433" w:type="dxa"/>
          </w:tcPr>
          <w:p>
            <w:pPr>
              <w:pStyle w:val="7"/>
              <w:spacing w:before="154"/>
              <w:rPr>
                <w:sz w:val="24"/>
                <w:szCs w:val="28"/>
              </w:rPr>
            </w:pPr>
            <w:r>
              <w:rPr>
                <w:sz w:val="24"/>
                <w:szCs w:val="28"/>
              </w:rPr>
              <w:t>国家级一等及以上</w:t>
            </w:r>
          </w:p>
        </w:tc>
        <w:tc>
          <w:tcPr>
            <w:tcW w:w="1135" w:type="dxa"/>
          </w:tcPr>
          <w:p>
            <w:pPr>
              <w:pStyle w:val="7"/>
              <w:spacing w:before="168"/>
              <w:ind w:left="9"/>
              <w:jc w:val="center"/>
              <w:rPr>
                <w:rFonts w:ascii="Times New Roman"/>
                <w:sz w:val="24"/>
                <w:szCs w:val="28"/>
              </w:rPr>
            </w:pPr>
            <w:r>
              <w:rPr>
                <w:rFonts w:ascii="Times New Roman"/>
                <w:w w:val="100"/>
                <w:sz w:val="24"/>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95" w:type="dxa"/>
            <w:vMerge w:val="continue"/>
            <w:tcBorders>
              <w:top w:val="nil"/>
            </w:tcBorders>
            <w:vAlign w:val="center"/>
          </w:tcPr>
          <w:p>
            <w:pPr>
              <w:jc w:val="center"/>
              <w:rPr>
                <w:sz w:val="6"/>
                <w:szCs w:val="6"/>
              </w:rPr>
            </w:pPr>
          </w:p>
        </w:tc>
        <w:tc>
          <w:tcPr>
            <w:tcW w:w="5433" w:type="dxa"/>
          </w:tcPr>
          <w:p>
            <w:pPr>
              <w:pStyle w:val="7"/>
              <w:spacing w:before="154"/>
              <w:ind w:left="108"/>
              <w:rPr>
                <w:sz w:val="24"/>
                <w:szCs w:val="28"/>
              </w:rPr>
            </w:pPr>
            <w:r>
              <w:rPr>
                <w:sz w:val="24"/>
                <w:szCs w:val="28"/>
              </w:rPr>
              <w:t>国家级奖励或省级一等奖</w:t>
            </w:r>
          </w:p>
        </w:tc>
        <w:tc>
          <w:tcPr>
            <w:tcW w:w="1135" w:type="dxa"/>
          </w:tcPr>
          <w:p>
            <w:pPr>
              <w:pStyle w:val="7"/>
              <w:spacing w:before="168"/>
              <w:ind w:left="9"/>
              <w:jc w:val="center"/>
              <w:rPr>
                <w:rFonts w:ascii="Times New Roman"/>
                <w:sz w:val="24"/>
                <w:szCs w:val="28"/>
              </w:rPr>
            </w:pPr>
            <w:r>
              <w:rPr>
                <w:rFonts w:ascii="Times New Roman"/>
                <w:w w:val="100"/>
                <w:sz w:val="24"/>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95" w:type="dxa"/>
            <w:vMerge w:val="continue"/>
            <w:tcBorders>
              <w:top w:val="nil"/>
            </w:tcBorders>
            <w:vAlign w:val="center"/>
          </w:tcPr>
          <w:p>
            <w:pPr>
              <w:jc w:val="center"/>
              <w:rPr>
                <w:sz w:val="6"/>
                <w:szCs w:val="6"/>
              </w:rPr>
            </w:pPr>
          </w:p>
        </w:tc>
        <w:tc>
          <w:tcPr>
            <w:tcW w:w="5433" w:type="dxa"/>
          </w:tcPr>
          <w:p>
            <w:pPr>
              <w:pStyle w:val="7"/>
              <w:spacing w:before="152"/>
              <w:ind w:left="108"/>
              <w:rPr>
                <w:sz w:val="24"/>
                <w:szCs w:val="28"/>
              </w:rPr>
            </w:pPr>
            <w:r>
              <w:rPr>
                <w:sz w:val="24"/>
                <w:szCs w:val="28"/>
              </w:rPr>
              <w:t>省级奖励或校级一等奖</w:t>
            </w:r>
          </w:p>
        </w:tc>
        <w:tc>
          <w:tcPr>
            <w:tcW w:w="1135" w:type="dxa"/>
          </w:tcPr>
          <w:p>
            <w:pPr>
              <w:pStyle w:val="7"/>
              <w:spacing w:before="166"/>
              <w:ind w:left="9"/>
              <w:jc w:val="center"/>
              <w:rPr>
                <w:rFonts w:ascii="Times New Roman"/>
                <w:sz w:val="24"/>
                <w:szCs w:val="28"/>
              </w:rPr>
            </w:pPr>
            <w:r>
              <w:rPr>
                <w:rFonts w:ascii="Times New Roman"/>
                <w:w w:val="100"/>
                <w:sz w:val="24"/>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95" w:type="dxa"/>
            <w:vMerge w:val="continue"/>
            <w:tcBorders>
              <w:top w:val="nil"/>
            </w:tcBorders>
            <w:vAlign w:val="center"/>
          </w:tcPr>
          <w:p>
            <w:pPr>
              <w:jc w:val="center"/>
              <w:rPr>
                <w:sz w:val="6"/>
                <w:szCs w:val="6"/>
              </w:rPr>
            </w:pPr>
          </w:p>
        </w:tc>
        <w:tc>
          <w:tcPr>
            <w:tcW w:w="5433" w:type="dxa"/>
          </w:tcPr>
          <w:p>
            <w:pPr>
              <w:pStyle w:val="7"/>
              <w:spacing w:before="154"/>
              <w:ind w:left="108"/>
              <w:rPr>
                <w:sz w:val="24"/>
                <w:szCs w:val="28"/>
              </w:rPr>
            </w:pPr>
            <w:r>
              <w:rPr>
                <w:sz w:val="24"/>
                <w:szCs w:val="28"/>
              </w:rPr>
              <w:t>校级奖励或院级一等奖</w:t>
            </w:r>
          </w:p>
        </w:tc>
        <w:tc>
          <w:tcPr>
            <w:tcW w:w="1135" w:type="dxa"/>
          </w:tcPr>
          <w:p>
            <w:pPr>
              <w:pStyle w:val="7"/>
              <w:spacing w:before="168"/>
              <w:ind w:left="9"/>
              <w:jc w:val="center"/>
              <w:rPr>
                <w:rFonts w:ascii="Times New Roman"/>
                <w:sz w:val="24"/>
                <w:szCs w:val="28"/>
              </w:rPr>
            </w:pPr>
            <w:r>
              <w:rPr>
                <w:rFonts w:ascii="Times New Roman"/>
                <w:w w:val="10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195" w:type="dxa"/>
            <w:vMerge w:val="restart"/>
            <w:vAlign w:val="center"/>
          </w:tcPr>
          <w:p>
            <w:pPr>
              <w:pStyle w:val="7"/>
              <w:ind w:left="0" w:leftChars="0" w:firstLine="0" w:firstLineChars="0"/>
              <w:jc w:val="center"/>
              <w:rPr>
                <w:sz w:val="24"/>
                <w:szCs w:val="28"/>
              </w:rPr>
            </w:pPr>
            <w:r>
              <w:rPr>
                <w:sz w:val="24"/>
                <w:szCs w:val="28"/>
              </w:rPr>
              <w:t>论文发表</w:t>
            </w:r>
          </w:p>
        </w:tc>
        <w:tc>
          <w:tcPr>
            <w:tcW w:w="5433" w:type="dxa"/>
          </w:tcPr>
          <w:p>
            <w:pPr>
              <w:pStyle w:val="7"/>
              <w:spacing w:line="320" w:lineRule="exact"/>
              <w:ind w:right="101"/>
              <w:rPr>
                <w:sz w:val="24"/>
                <w:szCs w:val="28"/>
              </w:rPr>
            </w:pPr>
            <w:r>
              <w:rPr>
                <w:sz w:val="24"/>
                <w:szCs w:val="28"/>
              </w:rPr>
              <w:t xml:space="preserve">以第一作者身份在 </w:t>
            </w:r>
            <w:r>
              <w:rPr>
                <w:rFonts w:ascii="Times New Roman" w:eastAsia="Times New Roman"/>
                <w:sz w:val="24"/>
                <w:szCs w:val="28"/>
              </w:rPr>
              <w:t>SCI</w:t>
            </w:r>
            <w:r>
              <w:rPr>
                <w:sz w:val="24"/>
                <w:szCs w:val="28"/>
              </w:rPr>
              <w:t>，</w:t>
            </w:r>
            <w:r>
              <w:rPr>
                <w:rFonts w:ascii="Times New Roman" w:eastAsia="Times New Roman"/>
                <w:sz w:val="24"/>
                <w:szCs w:val="28"/>
              </w:rPr>
              <w:t>SSCI</w:t>
            </w:r>
            <w:r>
              <w:rPr>
                <w:sz w:val="24"/>
                <w:szCs w:val="28"/>
              </w:rPr>
              <w:t>，</w:t>
            </w:r>
            <w:r>
              <w:rPr>
                <w:rFonts w:ascii="Times New Roman" w:eastAsia="Times New Roman"/>
                <w:sz w:val="24"/>
                <w:szCs w:val="28"/>
              </w:rPr>
              <w:t>EI</w:t>
            </w:r>
            <w:r>
              <w:rPr>
                <w:sz w:val="24"/>
                <w:szCs w:val="28"/>
              </w:rPr>
              <w:t>；</w:t>
            </w:r>
            <w:r>
              <w:rPr>
                <w:rFonts w:ascii="Times New Roman" w:eastAsia="Times New Roman"/>
                <w:sz w:val="24"/>
                <w:szCs w:val="28"/>
              </w:rPr>
              <w:t>CSCD</w:t>
            </w:r>
            <w:r>
              <w:rPr>
                <w:sz w:val="24"/>
                <w:szCs w:val="28"/>
              </w:rPr>
              <w:t>，</w:t>
            </w:r>
            <w:r>
              <w:rPr>
                <w:rFonts w:ascii="Times New Roman" w:eastAsia="Times New Roman"/>
                <w:sz w:val="24"/>
                <w:szCs w:val="28"/>
              </w:rPr>
              <w:t xml:space="preserve">CSSCI </w:t>
            </w:r>
            <w:r>
              <w:rPr>
                <w:sz w:val="24"/>
                <w:szCs w:val="28"/>
              </w:rPr>
              <w:t>核心期刊上发表文章</w:t>
            </w:r>
          </w:p>
        </w:tc>
        <w:tc>
          <w:tcPr>
            <w:tcW w:w="1135" w:type="dxa"/>
          </w:tcPr>
          <w:p>
            <w:pPr>
              <w:pStyle w:val="7"/>
              <w:spacing w:before="3"/>
              <w:ind w:left="0"/>
              <w:rPr>
                <w:b/>
                <w:sz w:val="20"/>
                <w:szCs w:val="28"/>
              </w:rPr>
            </w:pPr>
          </w:p>
          <w:p>
            <w:pPr>
              <w:pStyle w:val="7"/>
              <w:ind w:left="9"/>
              <w:jc w:val="center"/>
              <w:rPr>
                <w:rFonts w:ascii="Times New Roman"/>
                <w:sz w:val="24"/>
                <w:szCs w:val="28"/>
              </w:rPr>
            </w:pPr>
            <w:r>
              <w:rPr>
                <w:rFonts w:ascii="Times New Roman"/>
                <w:w w:val="100"/>
                <w:sz w:val="24"/>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95" w:type="dxa"/>
            <w:vMerge w:val="continue"/>
            <w:tcBorders>
              <w:top w:val="nil"/>
            </w:tcBorders>
            <w:vAlign w:val="center"/>
          </w:tcPr>
          <w:p>
            <w:pPr>
              <w:jc w:val="center"/>
              <w:rPr>
                <w:sz w:val="6"/>
                <w:szCs w:val="6"/>
              </w:rPr>
            </w:pPr>
          </w:p>
        </w:tc>
        <w:tc>
          <w:tcPr>
            <w:tcW w:w="5433" w:type="dxa"/>
          </w:tcPr>
          <w:p>
            <w:pPr>
              <w:pStyle w:val="7"/>
              <w:spacing w:before="154"/>
              <w:ind w:left="108"/>
              <w:rPr>
                <w:sz w:val="24"/>
                <w:szCs w:val="28"/>
              </w:rPr>
            </w:pPr>
            <w:r>
              <w:rPr>
                <w:sz w:val="24"/>
                <w:szCs w:val="28"/>
              </w:rPr>
              <w:t>以第一作者身份在其他核心期刊上发表论文</w:t>
            </w:r>
          </w:p>
        </w:tc>
        <w:tc>
          <w:tcPr>
            <w:tcW w:w="1135" w:type="dxa"/>
          </w:tcPr>
          <w:p>
            <w:pPr>
              <w:pStyle w:val="7"/>
              <w:spacing w:before="168"/>
              <w:ind w:left="9"/>
              <w:jc w:val="center"/>
              <w:rPr>
                <w:rFonts w:ascii="Times New Roman"/>
                <w:sz w:val="24"/>
                <w:szCs w:val="28"/>
              </w:rPr>
            </w:pPr>
            <w:r>
              <w:rPr>
                <w:rFonts w:ascii="Times New Roman"/>
                <w:w w:val="100"/>
                <w:sz w:val="24"/>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95" w:type="dxa"/>
            <w:vMerge w:val="continue"/>
            <w:tcBorders>
              <w:top w:val="nil"/>
            </w:tcBorders>
            <w:vAlign w:val="center"/>
          </w:tcPr>
          <w:p>
            <w:pPr>
              <w:jc w:val="center"/>
              <w:rPr>
                <w:sz w:val="6"/>
                <w:szCs w:val="6"/>
              </w:rPr>
            </w:pPr>
          </w:p>
        </w:tc>
        <w:tc>
          <w:tcPr>
            <w:tcW w:w="5433" w:type="dxa"/>
          </w:tcPr>
          <w:p>
            <w:pPr>
              <w:pStyle w:val="7"/>
              <w:spacing w:before="154"/>
              <w:ind w:left="108"/>
              <w:rPr>
                <w:sz w:val="24"/>
                <w:szCs w:val="28"/>
              </w:rPr>
            </w:pPr>
            <w:r>
              <w:rPr>
                <w:sz w:val="24"/>
                <w:szCs w:val="28"/>
              </w:rPr>
              <w:t>以第一作者以外的身份在核心期刊上发表文章</w:t>
            </w:r>
          </w:p>
        </w:tc>
        <w:tc>
          <w:tcPr>
            <w:tcW w:w="1135" w:type="dxa"/>
          </w:tcPr>
          <w:p>
            <w:pPr>
              <w:pStyle w:val="7"/>
              <w:spacing w:before="168"/>
              <w:ind w:left="9"/>
              <w:jc w:val="center"/>
              <w:rPr>
                <w:rFonts w:ascii="Times New Roman"/>
                <w:sz w:val="24"/>
                <w:szCs w:val="28"/>
              </w:rPr>
            </w:pPr>
            <w:r>
              <w:rPr>
                <w:rFonts w:ascii="Times New Roman"/>
                <w:w w:val="100"/>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95" w:type="dxa"/>
            <w:vMerge w:val="restart"/>
            <w:vAlign w:val="center"/>
          </w:tcPr>
          <w:p>
            <w:pPr>
              <w:pStyle w:val="7"/>
              <w:ind w:left="0" w:leftChars="0" w:firstLine="0" w:firstLineChars="0"/>
              <w:jc w:val="center"/>
              <w:rPr>
                <w:sz w:val="24"/>
                <w:szCs w:val="28"/>
              </w:rPr>
            </w:pPr>
            <w:r>
              <w:rPr>
                <w:sz w:val="24"/>
                <w:szCs w:val="28"/>
              </w:rPr>
              <w:t>学术创新</w:t>
            </w:r>
          </w:p>
        </w:tc>
        <w:tc>
          <w:tcPr>
            <w:tcW w:w="5433" w:type="dxa"/>
          </w:tcPr>
          <w:p>
            <w:pPr>
              <w:pStyle w:val="7"/>
              <w:spacing w:before="154"/>
              <w:rPr>
                <w:sz w:val="24"/>
                <w:szCs w:val="28"/>
              </w:rPr>
            </w:pPr>
            <w:r>
              <w:rPr>
                <w:sz w:val="24"/>
                <w:szCs w:val="28"/>
              </w:rPr>
              <w:t xml:space="preserve">省级及以上 </w:t>
            </w:r>
            <w:r>
              <w:rPr>
                <w:rFonts w:ascii="Times New Roman" w:eastAsia="Times New Roman"/>
                <w:sz w:val="24"/>
                <w:szCs w:val="28"/>
              </w:rPr>
              <w:t xml:space="preserve">SRTP </w:t>
            </w:r>
            <w:r>
              <w:rPr>
                <w:sz w:val="24"/>
                <w:szCs w:val="28"/>
              </w:rPr>
              <w:t>项目立项</w:t>
            </w:r>
          </w:p>
        </w:tc>
        <w:tc>
          <w:tcPr>
            <w:tcW w:w="1135" w:type="dxa"/>
          </w:tcPr>
          <w:p>
            <w:pPr>
              <w:pStyle w:val="7"/>
              <w:spacing w:before="168"/>
              <w:ind w:left="8"/>
              <w:jc w:val="center"/>
              <w:rPr>
                <w:rFonts w:ascii="Times New Roman"/>
                <w:sz w:val="24"/>
                <w:szCs w:val="28"/>
              </w:rPr>
            </w:pPr>
            <w:r>
              <w:rPr>
                <w:rFonts w:ascii="Times New Roman"/>
                <w:w w:val="100"/>
                <w:sz w:val="24"/>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95" w:type="dxa"/>
            <w:vMerge w:val="continue"/>
            <w:tcBorders>
              <w:top w:val="nil"/>
            </w:tcBorders>
          </w:tcPr>
          <w:p>
            <w:pPr>
              <w:rPr>
                <w:sz w:val="6"/>
                <w:szCs w:val="6"/>
              </w:rPr>
            </w:pPr>
          </w:p>
        </w:tc>
        <w:tc>
          <w:tcPr>
            <w:tcW w:w="5433" w:type="dxa"/>
          </w:tcPr>
          <w:p>
            <w:pPr>
              <w:pStyle w:val="7"/>
              <w:spacing w:before="154"/>
              <w:ind w:left="108"/>
              <w:rPr>
                <w:sz w:val="24"/>
                <w:szCs w:val="28"/>
              </w:rPr>
            </w:pPr>
            <w:r>
              <w:rPr>
                <w:sz w:val="24"/>
                <w:szCs w:val="28"/>
              </w:rPr>
              <w:t xml:space="preserve">校级 </w:t>
            </w:r>
            <w:r>
              <w:rPr>
                <w:rFonts w:ascii="Times New Roman" w:eastAsia="Times New Roman"/>
                <w:sz w:val="24"/>
                <w:szCs w:val="28"/>
              </w:rPr>
              <w:t xml:space="preserve">SRTP </w:t>
            </w:r>
            <w:r>
              <w:rPr>
                <w:sz w:val="24"/>
                <w:szCs w:val="28"/>
              </w:rPr>
              <w:t>项目立项</w:t>
            </w:r>
          </w:p>
        </w:tc>
        <w:tc>
          <w:tcPr>
            <w:tcW w:w="1135" w:type="dxa"/>
          </w:tcPr>
          <w:p>
            <w:pPr>
              <w:pStyle w:val="7"/>
              <w:spacing w:before="168"/>
              <w:ind w:left="9"/>
              <w:jc w:val="center"/>
              <w:rPr>
                <w:rFonts w:ascii="Times New Roman"/>
                <w:sz w:val="24"/>
                <w:szCs w:val="28"/>
              </w:rPr>
            </w:pPr>
            <w:r>
              <w:rPr>
                <w:rFonts w:ascii="Times New Roman"/>
                <w:w w:val="100"/>
                <w:sz w:val="24"/>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95" w:type="dxa"/>
            <w:vMerge w:val="continue"/>
            <w:tcBorders>
              <w:top w:val="nil"/>
            </w:tcBorders>
          </w:tcPr>
          <w:p>
            <w:pPr>
              <w:rPr>
                <w:sz w:val="6"/>
                <w:szCs w:val="6"/>
              </w:rPr>
            </w:pPr>
          </w:p>
        </w:tc>
        <w:tc>
          <w:tcPr>
            <w:tcW w:w="5433" w:type="dxa"/>
          </w:tcPr>
          <w:p>
            <w:pPr>
              <w:pStyle w:val="7"/>
              <w:spacing w:before="154"/>
              <w:ind w:left="108"/>
              <w:rPr>
                <w:sz w:val="24"/>
                <w:szCs w:val="28"/>
              </w:rPr>
            </w:pPr>
            <w:r>
              <w:rPr>
                <w:sz w:val="24"/>
                <w:szCs w:val="28"/>
              </w:rPr>
              <w:t xml:space="preserve">院级 </w:t>
            </w:r>
            <w:r>
              <w:rPr>
                <w:rFonts w:ascii="Times New Roman" w:eastAsia="Times New Roman"/>
                <w:sz w:val="24"/>
                <w:szCs w:val="28"/>
              </w:rPr>
              <w:t xml:space="preserve">SRTP </w:t>
            </w:r>
            <w:r>
              <w:rPr>
                <w:sz w:val="24"/>
                <w:szCs w:val="28"/>
              </w:rPr>
              <w:t>项目立项</w:t>
            </w:r>
          </w:p>
        </w:tc>
        <w:tc>
          <w:tcPr>
            <w:tcW w:w="1135" w:type="dxa"/>
          </w:tcPr>
          <w:p>
            <w:pPr>
              <w:pStyle w:val="7"/>
              <w:spacing w:before="168"/>
              <w:ind w:left="9"/>
              <w:jc w:val="center"/>
              <w:rPr>
                <w:rFonts w:ascii="Times New Roman"/>
                <w:sz w:val="24"/>
                <w:szCs w:val="28"/>
              </w:rPr>
            </w:pPr>
            <w:r>
              <w:rPr>
                <w:rFonts w:ascii="Times New Roman"/>
                <w:w w:val="100"/>
                <w:sz w:val="24"/>
                <w:szCs w:val="28"/>
              </w:rPr>
              <w:t>1</w:t>
            </w:r>
          </w:p>
        </w:tc>
      </w:tr>
    </w:tbl>
    <w:p>
      <w:pPr>
        <w:rPr>
          <w:rFonts w:hint="eastAsia"/>
          <w:b w:val="0"/>
          <w:bCs w:val="0"/>
          <w:sz w:val="28"/>
          <w:szCs w:val="28"/>
        </w:rPr>
      </w:pPr>
      <w:r>
        <w:rPr>
          <w:rFonts w:hint="eastAsia"/>
          <w:b w:val="0"/>
          <w:bCs w:val="0"/>
          <w:sz w:val="28"/>
          <w:szCs w:val="28"/>
        </w:rPr>
        <w:t>说明：</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eastAsia="仿宋"/>
          <w:sz w:val="28"/>
          <w:szCs w:val="28"/>
          <w:highlight w:val="none"/>
          <w:lang w:eastAsia="zh-CN"/>
        </w:rPr>
      </w:pPr>
      <w:r>
        <w:rPr>
          <w:rFonts w:hint="eastAsia"/>
          <w:sz w:val="28"/>
          <w:szCs w:val="28"/>
        </w:rPr>
        <w:t>（1）</w:t>
      </w:r>
      <w:r>
        <w:rPr>
          <w:rFonts w:hint="eastAsia"/>
          <w:sz w:val="28"/>
          <w:szCs w:val="28"/>
          <w:highlight w:val="none"/>
        </w:rPr>
        <w:t>学生课外研学系统（以下简称 SRTP 系统）中给予 SRTP 学分的竞赛可计入竞赛加分；SRTP 系统中未有，但经工商管理大类所含学院认可的省级及以上的竞赛，可以计入竞赛加分；除上述情况外，其余竞赛均不加分；所有奖项，仅认可一、二、三等及以上奖励等级，鼓励奖、优秀奖和入围奖三类均不加分；同类竞赛申报加分按最高获奖等级计分，同一等级的加分只计一次，若有多个不同类的竞赛申报加分，可累加；</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sz w:val="28"/>
          <w:szCs w:val="28"/>
          <w:highlight w:val="none"/>
        </w:rPr>
      </w:pPr>
      <w:r>
        <w:rPr>
          <w:rFonts w:hint="eastAsia"/>
          <w:sz w:val="28"/>
          <w:szCs w:val="28"/>
          <w:highlight w:val="none"/>
        </w:rPr>
        <w:t>（2）论文发表以见刊为准，如在分流评价时可以获得期刊录用证明，也可作为加分依据；</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sz w:val="28"/>
          <w:szCs w:val="28"/>
        </w:rPr>
      </w:pPr>
      <w:r>
        <w:rPr>
          <w:rFonts w:hint="eastAsia"/>
          <w:sz w:val="28"/>
          <w:szCs w:val="28"/>
          <w:highlight w:val="none"/>
        </w:rPr>
        <w:t>（3）SRTP 项目需提供相关证明材料，经认可方可计分；多人组队申报的，按贡献比例加分，未有约定的按参加人数平均</w:t>
      </w:r>
      <w:r>
        <w:rPr>
          <w:rFonts w:hint="eastAsia"/>
          <w:sz w:val="28"/>
          <w:szCs w:val="28"/>
        </w:rPr>
        <w:t>；同一等级的加分只计一次，若有多个不同等级的申报加分，可累加；</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sz w:val="28"/>
          <w:szCs w:val="28"/>
        </w:rPr>
      </w:pPr>
      <w:r>
        <w:rPr>
          <w:rFonts w:hint="eastAsia"/>
          <w:sz w:val="28"/>
          <w:szCs w:val="28"/>
        </w:rPr>
        <w:t>此加分项目 6 分封顶。</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sz w:val="28"/>
          <w:szCs w:val="28"/>
        </w:rPr>
      </w:pPr>
      <w:r>
        <w:rPr>
          <w:rFonts w:hint="eastAsia"/>
          <w:sz w:val="28"/>
          <w:szCs w:val="28"/>
        </w:rPr>
        <w:t>（1）根据学生第一学年纳入平均学分绩点计算的各门课程成绩，计算课程加权平均成绩，并按总分 90 分进行规格化；</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sz w:val="28"/>
          <w:szCs w:val="28"/>
        </w:rPr>
      </w:pPr>
      <w:r>
        <w:rPr>
          <w:rFonts w:hint="eastAsia"/>
          <w:sz w:val="28"/>
          <w:szCs w:val="28"/>
        </w:rPr>
        <w:t>（2）按照附件“工商管理类综合能力评价细则”，计算综合能力得分，总加分不超过 10 分；每位学生获得的加分明细均需在班级进行不少于 3 日的公示；</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sz w:val="28"/>
          <w:szCs w:val="28"/>
          <w:lang w:val="en-US" w:eastAsia="zh-CN"/>
        </w:rPr>
      </w:pPr>
      <w:r>
        <w:rPr>
          <w:rFonts w:hint="eastAsia"/>
          <w:sz w:val="28"/>
          <w:szCs w:val="28"/>
        </w:rPr>
        <w:t>（3）将规格化后的课程平均成绩与总加分相加，得到综合测评成绩（精确到小数点后三位）。</w:t>
      </w:r>
    </w:p>
    <w:p>
      <w:pPr>
        <w:numPr>
          <w:ilvl w:val="0"/>
          <w:numId w:val="0"/>
        </w:numPr>
        <w:ind w:right="0" w:rightChars="0"/>
        <w:jc w:val="both"/>
        <w:rPr>
          <w:rFonts w:hint="eastAsia"/>
          <w:sz w:val="28"/>
          <w:szCs w:val="28"/>
          <w:lang w:val="en-US" w:eastAsia="zh-CN"/>
        </w:rPr>
      </w:pPr>
      <w:r>
        <w:rPr>
          <w:rFonts w:hint="eastAsia"/>
          <w:b/>
          <w:bCs/>
          <w:sz w:val="28"/>
          <w:szCs w:val="28"/>
          <w:lang w:val="en-US" w:eastAsia="zh-CN"/>
        </w:rPr>
        <w:t>（二）实践类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9"/>
        <w:gridCol w:w="5477"/>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579" w:type="dxa"/>
          </w:tcPr>
          <w:p>
            <w:pPr>
              <w:widowControl w:val="0"/>
              <w:autoSpaceDE w:val="0"/>
              <w:autoSpaceDN w:val="0"/>
              <w:spacing w:before="73" w:after="0" w:line="240" w:lineRule="auto"/>
              <w:ind w:left="348" w:right="338"/>
              <w:jc w:val="center"/>
              <w:rPr>
                <w:rFonts w:ascii="仿宋" w:hAnsi="仿宋" w:eastAsia="仿宋" w:cs="仿宋"/>
                <w:sz w:val="24"/>
                <w:szCs w:val="24"/>
                <w:lang w:val="zh-CN" w:eastAsia="zh-CN" w:bidi="zh-CN"/>
              </w:rPr>
            </w:pPr>
            <w:r>
              <w:rPr>
                <w:rFonts w:ascii="仿宋" w:hAnsi="仿宋" w:eastAsia="仿宋" w:cs="仿宋"/>
                <w:sz w:val="24"/>
                <w:szCs w:val="24"/>
                <w:lang w:val="zh-CN" w:eastAsia="zh-CN" w:bidi="zh-CN"/>
              </w:rPr>
              <w:t>类别</w:t>
            </w:r>
          </w:p>
        </w:tc>
        <w:tc>
          <w:tcPr>
            <w:tcW w:w="5477" w:type="dxa"/>
          </w:tcPr>
          <w:p>
            <w:pPr>
              <w:widowControl w:val="0"/>
              <w:autoSpaceDE w:val="0"/>
              <w:autoSpaceDN w:val="0"/>
              <w:spacing w:before="73" w:after="0" w:line="240" w:lineRule="auto"/>
              <w:ind w:left="2506" w:right="2501"/>
              <w:jc w:val="center"/>
              <w:rPr>
                <w:rFonts w:ascii="仿宋" w:hAnsi="仿宋" w:eastAsia="仿宋" w:cs="仿宋"/>
                <w:sz w:val="24"/>
                <w:szCs w:val="24"/>
                <w:lang w:val="zh-CN" w:eastAsia="zh-CN" w:bidi="zh-CN"/>
              </w:rPr>
            </w:pPr>
            <w:r>
              <w:rPr>
                <w:rFonts w:hint="eastAsia" w:ascii="仿宋" w:hAnsi="仿宋" w:eastAsia="仿宋" w:cs="仿宋"/>
                <w:sz w:val="24"/>
                <w:szCs w:val="24"/>
                <w:lang w:val="zh-CN" w:eastAsia="zh-CN" w:bidi="zh-CN"/>
              </w:rPr>
              <w:t>等</w:t>
            </w:r>
            <w:r>
              <w:rPr>
                <w:rFonts w:ascii="仿宋" w:hAnsi="仿宋" w:eastAsia="仿宋" w:cs="仿宋"/>
                <w:sz w:val="24"/>
                <w:szCs w:val="24"/>
                <w:lang w:val="zh-CN" w:eastAsia="zh-CN" w:bidi="zh-CN"/>
              </w:rPr>
              <w:t>级</w:t>
            </w:r>
          </w:p>
        </w:tc>
        <w:tc>
          <w:tcPr>
            <w:tcW w:w="1416" w:type="dxa"/>
          </w:tcPr>
          <w:p>
            <w:pPr>
              <w:widowControl w:val="0"/>
              <w:autoSpaceDE w:val="0"/>
              <w:autoSpaceDN w:val="0"/>
              <w:spacing w:before="73" w:after="0" w:line="240" w:lineRule="auto"/>
              <w:ind w:right="465"/>
              <w:jc w:val="center"/>
              <w:rPr>
                <w:rFonts w:ascii="仿宋" w:hAnsi="仿宋" w:eastAsia="仿宋" w:cs="仿宋"/>
                <w:sz w:val="24"/>
                <w:szCs w:val="24"/>
                <w:lang w:val="zh-CN" w:eastAsia="zh-CN" w:bidi="zh-CN"/>
              </w:rPr>
            </w:pPr>
            <w:r>
              <w:rPr>
                <w:rFonts w:ascii="仿宋" w:hAnsi="仿宋" w:eastAsia="仿宋" w:cs="仿宋"/>
                <w:sz w:val="24"/>
                <w:szCs w:val="24"/>
                <w:lang w:val="zh-CN" w:eastAsia="zh-CN" w:bidi="zh-CN"/>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579" w:type="dxa"/>
            <w:vMerge w:val="restart"/>
          </w:tcPr>
          <w:p>
            <w:pPr>
              <w:widowControl w:val="0"/>
              <w:autoSpaceDE w:val="0"/>
              <w:autoSpaceDN w:val="0"/>
              <w:spacing w:before="2" w:after="0" w:line="240" w:lineRule="auto"/>
              <w:ind w:left="0" w:right="0"/>
              <w:jc w:val="left"/>
              <w:rPr>
                <w:rFonts w:ascii="仿宋" w:hAnsi="仿宋" w:eastAsia="仿宋" w:cs="仿宋"/>
                <w:b/>
                <w:sz w:val="24"/>
                <w:szCs w:val="24"/>
                <w:lang w:val="zh-CN" w:eastAsia="zh-CN" w:bidi="zh-CN"/>
              </w:rPr>
            </w:pPr>
          </w:p>
          <w:p>
            <w:pPr>
              <w:widowControl w:val="0"/>
              <w:autoSpaceDE w:val="0"/>
              <w:autoSpaceDN w:val="0"/>
              <w:spacing w:before="1" w:after="0" w:line="240" w:lineRule="auto"/>
              <w:ind w:right="0" w:firstLine="240" w:firstLineChars="100"/>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社会实践</w:t>
            </w:r>
          </w:p>
        </w:tc>
        <w:tc>
          <w:tcPr>
            <w:tcW w:w="5477" w:type="dxa"/>
          </w:tcPr>
          <w:p>
            <w:pPr>
              <w:widowControl w:val="0"/>
              <w:autoSpaceDE w:val="0"/>
              <w:autoSpaceDN w:val="0"/>
              <w:spacing w:before="135" w:after="0" w:line="240" w:lineRule="auto"/>
              <w:ind w:left="105" w:right="0"/>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校级社会实践项目</w:t>
            </w:r>
          </w:p>
        </w:tc>
        <w:tc>
          <w:tcPr>
            <w:tcW w:w="1416" w:type="dxa"/>
          </w:tcPr>
          <w:p>
            <w:pPr>
              <w:widowControl w:val="0"/>
              <w:autoSpaceDE w:val="0"/>
              <w:autoSpaceDN w:val="0"/>
              <w:spacing w:before="149" w:after="0" w:line="240" w:lineRule="auto"/>
              <w:ind w:left="9" w:right="0"/>
              <w:jc w:val="center"/>
              <w:rPr>
                <w:rFonts w:ascii="Times New Roman" w:hAnsi="仿宋" w:eastAsia="仿宋" w:cs="仿宋"/>
                <w:sz w:val="24"/>
                <w:szCs w:val="24"/>
                <w:lang w:val="zh-CN" w:eastAsia="zh-CN" w:bidi="zh-CN"/>
              </w:rPr>
            </w:pPr>
            <w:r>
              <w:rPr>
                <w:rFonts w:ascii="Times New Roman" w:hAnsi="仿宋" w:eastAsia="仿宋" w:cs="仿宋"/>
                <w:w w:val="100"/>
                <w:sz w:val="24"/>
                <w:szCs w:val="24"/>
                <w:lang w:val="zh-CN"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579" w:type="dxa"/>
            <w:vMerge w:val="continue"/>
            <w:tcBorders>
              <w:top w:val="nil"/>
            </w:tcBorders>
          </w:tcPr>
          <w:p>
            <w:pPr>
              <w:rPr>
                <w:sz w:val="24"/>
                <w:szCs w:val="24"/>
              </w:rPr>
            </w:pPr>
          </w:p>
        </w:tc>
        <w:tc>
          <w:tcPr>
            <w:tcW w:w="5477" w:type="dxa"/>
          </w:tcPr>
          <w:p>
            <w:pPr>
              <w:widowControl w:val="0"/>
              <w:autoSpaceDE w:val="0"/>
              <w:autoSpaceDN w:val="0"/>
              <w:spacing w:before="135" w:after="0" w:line="240" w:lineRule="auto"/>
              <w:ind w:left="105" w:right="0"/>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院级社会实践项目</w:t>
            </w:r>
          </w:p>
        </w:tc>
        <w:tc>
          <w:tcPr>
            <w:tcW w:w="1416" w:type="dxa"/>
          </w:tcPr>
          <w:p>
            <w:pPr>
              <w:widowControl w:val="0"/>
              <w:autoSpaceDE w:val="0"/>
              <w:autoSpaceDN w:val="0"/>
              <w:spacing w:before="149" w:after="0" w:line="240" w:lineRule="auto"/>
              <w:ind w:left="9" w:right="0"/>
              <w:jc w:val="center"/>
              <w:rPr>
                <w:rFonts w:ascii="Times New Roman" w:hAnsi="仿宋" w:eastAsia="仿宋" w:cs="仿宋"/>
                <w:sz w:val="24"/>
                <w:szCs w:val="24"/>
                <w:lang w:val="zh-CN" w:eastAsia="zh-CN" w:bidi="zh-CN"/>
              </w:rPr>
            </w:pPr>
            <w:r>
              <w:rPr>
                <w:rFonts w:ascii="Times New Roman" w:hAnsi="仿宋" w:eastAsia="仿宋" w:cs="仿宋"/>
                <w:w w:val="100"/>
                <w:sz w:val="24"/>
                <w:szCs w:val="24"/>
                <w:lang w:val="zh-CN" w:eastAsia="zh-CN" w:bidi="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579" w:type="dxa"/>
          </w:tcPr>
          <w:p>
            <w:pPr>
              <w:widowControl w:val="0"/>
              <w:autoSpaceDE w:val="0"/>
              <w:autoSpaceDN w:val="0"/>
              <w:spacing w:before="154" w:after="0" w:line="240" w:lineRule="auto"/>
              <w:ind w:left="107" w:right="338"/>
              <w:jc w:val="center"/>
              <w:rPr>
                <w:rFonts w:ascii="仿宋" w:hAnsi="仿宋" w:eastAsia="仿宋" w:cs="仿宋"/>
                <w:sz w:val="24"/>
                <w:szCs w:val="24"/>
                <w:lang w:val="zh-CN" w:eastAsia="zh-CN" w:bidi="zh-CN"/>
              </w:rPr>
            </w:pPr>
            <w:r>
              <w:rPr>
                <w:rFonts w:hint="eastAsia" w:ascii="仿宋" w:hAnsi="仿宋" w:eastAsia="仿宋" w:cs="仿宋"/>
                <w:sz w:val="24"/>
                <w:szCs w:val="24"/>
                <w:lang w:val="en-US" w:eastAsia="zh-CN" w:bidi="zh-CN"/>
              </w:rPr>
              <w:t xml:space="preserve"> </w:t>
            </w:r>
            <w:r>
              <w:rPr>
                <w:rFonts w:ascii="仿宋" w:hAnsi="仿宋" w:eastAsia="仿宋" w:cs="仿宋"/>
                <w:sz w:val="24"/>
                <w:szCs w:val="24"/>
                <w:lang w:val="zh-CN" w:eastAsia="zh-CN" w:bidi="zh-CN"/>
              </w:rPr>
              <w:t>志愿服务</w:t>
            </w:r>
          </w:p>
        </w:tc>
        <w:tc>
          <w:tcPr>
            <w:tcW w:w="5477" w:type="dxa"/>
          </w:tcPr>
          <w:p>
            <w:pPr>
              <w:widowControl w:val="0"/>
              <w:autoSpaceDE w:val="0"/>
              <w:autoSpaceDN w:val="0"/>
              <w:spacing w:before="135" w:after="0" w:line="240" w:lineRule="auto"/>
              <w:ind w:left="105" w:right="0"/>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 xml:space="preserve">参加志愿服务活动 </w:t>
            </w:r>
            <w:r>
              <w:rPr>
                <w:rFonts w:ascii="Times New Roman" w:hAnsi="仿宋" w:eastAsia="Times New Roman" w:cs="仿宋"/>
                <w:sz w:val="24"/>
                <w:szCs w:val="24"/>
                <w:lang w:val="zh-CN" w:eastAsia="zh-CN" w:bidi="zh-CN"/>
              </w:rPr>
              <w:t xml:space="preserve">3 </w:t>
            </w:r>
            <w:r>
              <w:rPr>
                <w:rFonts w:ascii="仿宋" w:hAnsi="仿宋" w:eastAsia="仿宋" w:cs="仿宋"/>
                <w:sz w:val="24"/>
                <w:szCs w:val="24"/>
                <w:lang w:val="zh-CN" w:eastAsia="zh-CN" w:bidi="zh-CN"/>
              </w:rPr>
              <w:t xml:space="preserve">次以上或时长 </w:t>
            </w:r>
            <w:r>
              <w:rPr>
                <w:rFonts w:ascii="Times New Roman" w:hAnsi="仿宋" w:eastAsia="Times New Roman" w:cs="仿宋"/>
                <w:sz w:val="24"/>
                <w:szCs w:val="24"/>
                <w:lang w:val="zh-CN" w:eastAsia="zh-CN" w:bidi="zh-CN"/>
              </w:rPr>
              <w:t xml:space="preserve">8 </w:t>
            </w:r>
            <w:r>
              <w:rPr>
                <w:rFonts w:ascii="仿宋" w:hAnsi="仿宋" w:eastAsia="仿宋" w:cs="仿宋"/>
                <w:sz w:val="24"/>
                <w:szCs w:val="24"/>
                <w:lang w:val="zh-CN" w:eastAsia="zh-CN" w:bidi="zh-CN"/>
              </w:rPr>
              <w:t>小时以上</w:t>
            </w:r>
          </w:p>
        </w:tc>
        <w:tc>
          <w:tcPr>
            <w:tcW w:w="1416" w:type="dxa"/>
          </w:tcPr>
          <w:p>
            <w:pPr>
              <w:widowControl w:val="0"/>
              <w:autoSpaceDE w:val="0"/>
              <w:autoSpaceDN w:val="0"/>
              <w:spacing w:before="149" w:after="0" w:line="240" w:lineRule="auto"/>
              <w:ind w:left="9" w:right="0"/>
              <w:jc w:val="center"/>
              <w:rPr>
                <w:rFonts w:ascii="Times New Roman" w:hAnsi="仿宋" w:eastAsia="仿宋" w:cs="仿宋"/>
                <w:sz w:val="24"/>
                <w:szCs w:val="24"/>
                <w:lang w:val="zh-CN" w:eastAsia="zh-CN" w:bidi="zh-CN"/>
              </w:rPr>
            </w:pPr>
            <w:r>
              <w:rPr>
                <w:rFonts w:ascii="Times New Roman" w:hAnsi="仿宋" w:eastAsia="仿宋" w:cs="仿宋"/>
                <w:w w:val="100"/>
                <w:sz w:val="24"/>
                <w:szCs w:val="24"/>
                <w:lang w:val="zh-CN" w:eastAsia="zh-CN" w:bidi="zh-CN"/>
              </w:rPr>
              <w:t>2</w:t>
            </w:r>
          </w:p>
        </w:tc>
      </w:tr>
    </w:tbl>
    <w:p>
      <w:pPr>
        <w:numPr>
          <w:ilvl w:val="0"/>
          <w:numId w:val="0"/>
        </w:numPr>
        <w:ind w:right="0" w:rightChars="0"/>
        <w:rPr>
          <w:rFonts w:hint="eastAsia"/>
          <w:sz w:val="28"/>
          <w:szCs w:val="28"/>
          <w:lang w:val="en-US" w:eastAsia="zh-CN"/>
        </w:rPr>
      </w:pPr>
      <w:r>
        <w:rPr>
          <w:rFonts w:hint="eastAsia"/>
          <w:sz w:val="28"/>
          <w:szCs w:val="28"/>
          <w:lang w:val="en-US" w:eastAsia="zh-CN"/>
        </w:rPr>
        <w:t>说明：</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（1）社会实践项目须</w:t>
      </w:r>
      <w:r>
        <w:rPr>
          <w:rFonts w:hint="eastAsia"/>
          <w:sz w:val="28"/>
          <w:szCs w:val="28"/>
          <w:highlight w:val="none"/>
          <w:lang w:val="en-US" w:eastAsia="zh-CN"/>
        </w:rPr>
        <w:t>经学校团委或学院团委认定且已结项合格</w:t>
      </w:r>
      <w:r>
        <w:rPr>
          <w:rFonts w:hint="eastAsia"/>
          <w:sz w:val="28"/>
          <w:szCs w:val="28"/>
          <w:lang w:val="en-US" w:eastAsia="zh-CN"/>
        </w:rPr>
        <w:t>；如因遇不可抗力未按期结项，由托管学院团委根据项目实施情况酌情给予加分意见。</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（2）志愿服务活动须</w:t>
      </w:r>
      <w:r>
        <w:rPr>
          <w:rFonts w:hint="eastAsia"/>
          <w:sz w:val="28"/>
          <w:szCs w:val="28"/>
          <w:highlight w:val="none"/>
          <w:lang w:val="en-US" w:eastAsia="zh-CN"/>
        </w:rPr>
        <w:t>提供参加证明或确认服务时长的截图。</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（3）此加分项 2 分封顶。</w:t>
      </w:r>
    </w:p>
    <w:p>
      <w:pPr>
        <w:numPr>
          <w:ilvl w:val="0"/>
          <w:numId w:val="0"/>
        </w:numPr>
        <w:ind w:right="0" w:rightChars="0"/>
        <w:jc w:val="both"/>
        <w:rPr>
          <w:rFonts w:hint="eastAsia"/>
          <w:b/>
          <w:bCs/>
          <w:sz w:val="28"/>
          <w:szCs w:val="28"/>
          <w:highlight w:val="none"/>
          <w:lang w:val="en-US" w:eastAsia="zh-CN"/>
        </w:rPr>
      </w:pPr>
      <w:r>
        <w:rPr>
          <w:rFonts w:hint="eastAsia"/>
          <w:b/>
          <w:bCs/>
          <w:sz w:val="28"/>
          <w:szCs w:val="28"/>
          <w:highlight w:val="none"/>
          <w:lang w:val="en-US" w:eastAsia="zh-CN"/>
        </w:rPr>
        <w:t>（三）文体类</w:t>
      </w:r>
    </w:p>
    <w:tbl>
      <w:tblPr>
        <w:tblStyle w:val="3"/>
        <w:tblW w:w="8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5457"/>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81" w:type="dxa"/>
            <w:vAlign w:val="center"/>
          </w:tcPr>
          <w:p>
            <w:pPr>
              <w:widowControl w:val="0"/>
              <w:autoSpaceDE w:val="0"/>
              <w:autoSpaceDN w:val="0"/>
              <w:spacing w:before="70" w:after="0" w:line="240" w:lineRule="auto"/>
              <w:ind w:left="347" w:right="338"/>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类别</w:t>
            </w:r>
          </w:p>
        </w:tc>
        <w:tc>
          <w:tcPr>
            <w:tcW w:w="5457" w:type="dxa"/>
            <w:vAlign w:val="center"/>
          </w:tcPr>
          <w:p>
            <w:pPr>
              <w:widowControl w:val="0"/>
              <w:autoSpaceDE w:val="0"/>
              <w:autoSpaceDN w:val="0"/>
              <w:spacing w:before="70" w:after="0" w:line="240" w:lineRule="auto"/>
              <w:ind w:left="1133" w:right="1123"/>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等级</w:t>
            </w:r>
          </w:p>
        </w:tc>
        <w:tc>
          <w:tcPr>
            <w:tcW w:w="1430" w:type="dxa"/>
          </w:tcPr>
          <w:p>
            <w:pPr>
              <w:widowControl w:val="0"/>
              <w:autoSpaceDE w:val="0"/>
              <w:autoSpaceDN w:val="0"/>
              <w:spacing w:before="70" w:after="0" w:line="240" w:lineRule="auto"/>
              <w:ind w:left="485" w:right="474"/>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81" w:type="dxa"/>
            <w:vMerge w:val="restart"/>
            <w:vAlign w:val="center"/>
          </w:tcPr>
          <w:p>
            <w:pPr>
              <w:widowControl w:val="0"/>
              <w:autoSpaceDE w:val="0"/>
              <w:autoSpaceDN w:val="0"/>
              <w:spacing w:before="1" w:after="0" w:line="240" w:lineRule="auto"/>
              <w:ind w:right="0"/>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体育活动</w:t>
            </w:r>
          </w:p>
        </w:tc>
        <w:tc>
          <w:tcPr>
            <w:tcW w:w="5457" w:type="dxa"/>
            <w:vAlign w:val="center"/>
          </w:tcPr>
          <w:p>
            <w:pPr>
              <w:widowControl w:val="0"/>
              <w:autoSpaceDE w:val="0"/>
              <w:autoSpaceDN w:val="0"/>
              <w:spacing w:before="135" w:after="0" w:line="240" w:lineRule="auto"/>
              <w:ind w:right="1123"/>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参加学校体育活动并获得前三名</w:t>
            </w:r>
          </w:p>
        </w:tc>
        <w:tc>
          <w:tcPr>
            <w:tcW w:w="1430" w:type="dxa"/>
          </w:tcPr>
          <w:p>
            <w:pPr>
              <w:widowControl w:val="0"/>
              <w:autoSpaceDE w:val="0"/>
              <w:autoSpaceDN w:val="0"/>
              <w:spacing w:before="149" w:after="0" w:line="240" w:lineRule="auto"/>
              <w:ind w:left="6" w:right="0"/>
              <w:jc w:val="center"/>
              <w:rPr>
                <w:rFonts w:ascii="Times New Roman" w:hAnsi="仿宋" w:eastAsia="仿宋" w:cs="仿宋"/>
                <w:sz w:val="24"/>
                <w:szCs w:val="28"/>
                <w:lang w:val="zh-CN" w:eastAsia="zh-CN" w:bidi="zh-CN"/>
              </w:rPr>
            </w:pPr>
            <w:r>
              <w:rPr>
                <w:rFonts w:ascii="Times New Roman" w:hAnsi="仿宋" w:eastAsia="仿宋" w:cs="仿宋"/>
                <w:w w:val="100"/>
                <w:sz w:val="24"/>
                <w:szCs w:val="28"/>
                <w:lang w:val="zh-CN"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381" w:type="dxa"/>
            <w:vMerge w:val="continue"/>
            <w:tcBorders>
              <w:top w:val="nil"/>
            </w:tcBorders>
            <w:vAlign w:val="center"/>
          </w:tcPr>
          <w:p>
            <w:pPr>
              <w:jc w:val="center"/>
              <w:rPr>
                <w:sz w:val="6"/>
                <w:szCs w:val="6"/>
              </w:rPr>
            </w:pPr>
          </w:p>
        </w:tc>
        <w:tc>
          <w:tcPr>
            <w:tcW w:w="5457" w:type="dxa"/>
            <w:vAlign w:val="center"/>
          </w:tcPr>
          <w:p>
            <w:pPr>
              <w:widowControl w:val="0"/>
              <w:autoSpaceDE w:val="0"/>
              <w:autoSpaceDN w:val="0"/>
              <w:spacing w:before="138" w:after="0" w:line="240" w:lineRule="auto"/>
              <w:ind w:right="1123"/>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参加学校、院系体育活动</w:t>
            </w:r>
          </w:p>
        </w:tc>
        <w:tc>
          <w:tcPr>
            <w:tcW w:w="1430" w:type="dxa"/>
          </w:tcPr>
          <w:p>
            <w:pPr>
              <w:widowControl w:val="0"/>
              <w:autoSpaceDE w:val="0"/>
              <w:autoSpaceDN w:val="0"/>
              <w:spacing w:before="151" w:after="0" w:line="240" w:lineRule="auto"/>
              <w:ind w:left="6" w:right="0"/>
              <w:jc w:val="center"/>
              <w:rPr>
                <w:rFonts w:ascii="Times New Roman" w:hAnsi="仿宋" w:eastAsia="仿宋" w:cs="仿宋"/>
                <w:sz w:val="24"/>
                <w:szCs w:val="28"/>
                <w:lang w:val="zh-CN" w:eastAsia="zh-CN" w:bidi="zh-CN"/>
              </w:rPr>
            </w:pPr>
            <w:r>
              <w:rPr>
                <w:rFonts w:ascii="Times New Roman" w:hAnsi="仿宋" w:eastAsia="仿宋" w:cs="仿宋"/>
                <w:w w:val="100"/>
                <w:sz w:val="24"/>
                <w:szCs w:val="28"/>
                <w:lang w:val="zh-CN" w:eastAsia="zh-CN" w:bidi="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381" w:type="dxa"/>
            <w:vMerge w:val="restart"/>
            <w:vAlign w:val="center"/>
          </w:tcPr>
          <w:p>
            <w:pPr>
              <w:widowControl w:val="0"/>
              <w:autoSpaceDE w:val="0"/>
              <w:autoSpaceDN w:val="0"/>
              <w:spacing w:before="1" w:after="0" w:line="240" w:lineRule="auto"/>
              <w:ind w:right="0"/>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文化活动</w:t>
            </w:r>
          </w:p>
        </w:tc>
        <w:tc>
          <w:tcPr>
            <w:tcW w:w="5457" w:type="dxa"/>
            <w:vAlign w:val="center"/>
          </w:tcPr>
          <w:p>
            <w:pPr>
              <w:widowControl w:val="0"/>
              <w:autoSpaceDE w:val="0"/>
              <w:autoSpaceDN w:val="0"/>
              <w:spacing w:before="135" w:after="0" w:line="240" w:lineRule="auto"/>
              <w:ind w:right="1123"/>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参加学校文化活动并获二等奖以上</w:t>
            </w:r>
          </w:p>
        </w:tc>
        <w:tc>
          <w:tcPr>
            <w:tcW w:w="1430" w:type="dxa"/>
          </w:tcPr>
          <w:p>
            <w:pPr>
              <w:widowControl w:val="0"/>
              <w:autoSpaceDE w:val="0"/>
              <w:autoSpaceDN w:val="0"/>
              <w:spacing w:before="149" w:after="0" w:line="240" w:lineRule="auto"/>
              <w:ind w:left="7" w:right="0"/>
              <w:jc w:val="center"/>
              <w:rPr>
                <w:rFonts w:ascii="Times New Roman" w:hAnsi="仿宋" w:eastAsia="仿宋" w:cs="仿宋"/>
                <w:sz w:val="24"/>
                <w:szCs w:val="28"/>
                <w:lang w:val="zh-CN" w:eastAsia="zh-CN" w:bidi="zh-CN"/>
              </w:rPr>
            </w:pPr>
            <w:r>
              <w:rPr>
                <w:rFonts w:ascii="Times New Roman" w:hAnsi="仿宋" w:eastAsia="仿宋" w:cs="仿宋"/>
                <w:w w:val="100"/>
                <w:sz w:val="24"/>
                <w:szCs w:val="28"/>
                <w:lang w:val="zh-CN"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81" w:type="dxa"/>
            <w:vMerge w:val="continue"/>
            <w:tcBorders>
              <w:top w:val="nil"/>
            </w:tcBorders>
            <w:vAlign w:val="center"/>
          </w:tcPr>
          <w:p>
            <w:pPr>
              <w:jc w:val="center"/>
              <w:rPr>
                <w:sz w:val="6"/>
                <w:szCs w:val="6"/>
              </w:rPr>
            </w:pPr>
          </w:p>
        </w:tc>
        <w:tc>
          <w:tcPr>
            <w:tcW w:w="5457" w:type="dxa"/>
            <w:vAlign w:val="center"/>
          </w:tcPr>
          <w:p>
            <w:pPr>
              <w:widowControl w:val="0"/>
              <w:autoSpaceDE w:val="0"/>
              <w:autoSpaceDN w:val="0"/>
              <w:spacing w:before="135" w:after="0" w:line="240" w:lineRule="auto"/>
              <w:ind w:right="1123"/>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参加学校、学院文化活动</w:t>
            </w:r>
          </w:p>
        </w:tc>
        <w:tc>
          <w:tcPr>
            <w:tcW w:w="1430" w:type="dxa"/>
          </w:tcPr>
          <w:p>
            <w:pPr>
              <w:widowControl w:val="0"/>
              <w:autoSpaceDE w:val="0"/>
              <w:autoSpaceDN w:val="0"/>
              <w:spacing w:before="149" w:after="0" w:line="240" w:lineRule="auto"/>
              <w:ind w:left="7" w:right="0"/>
              <w:jc w:val="center"/>
              <w:rPr>
                <w:rFonts w:ascii="Times New Roman" w:hAnsi="仿宋" w:eastAsia="仿宋" w:cs="仿宋"/>
                <w:sz w:val="24"/>
                <w:szCs w:val="28"/>
                <w:lang w:val="zh-CN" w:eastAsia="zh-CN" w:bidi="zh-CN"/>
              </w:rPr>
            </w:pPr>
            <w:r>
              <w:rPr>
                <w:rFonts w:ascii="Times New Roman" w:hAnsi="仿宋" w:eastAsia="仿宋" w:cs="仿宋"/>
                <w:w w:val="100"/>
                <w:sz w:val="24"/>
                <w:szCs w:val="28"/>
                <w:lang w:val="zh-CN" w:eastAsia="zh-CN" w:bidi="zh-CN"/>
              </w:rPr>
              <w:t>1</w:t>
            </w:r>
          </w:p>
        </w:tc>
      </w:tr>
    </w:tbl>
    <w:p>
      <w:pPr>
        <w:numPr>
          <w:ilvl w:val="0"/>
          <w:numId w:val="0"/>
        </w:numPr>
        <w:ind w:right="0" w:rightChars="0"/>
        <w:rPr>
          <w:rFonts w:hint="eastAsia"/>
          <w:sz w:val="28"/>
          <w:szCs w:val="28"/>
          <w:lang w:val="en-US" w:eastAsia="zh-CN"/>
        </w:rPr>
      </w:pPr>
      <w:r>
        <w:rPr>
          <w:rFonts w:hint="eastAsia"/>
          <w:sz w:val="28"/>
          <w:szCs w:val="28"/>
          <w:lang w:val="en-US" w:eastAsia="zh-CN"/>
        </w:rPr>
        <w:t>说明：</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（1）体育活动主要为新生杯、院系杯、校运会、院运会、院班赛等经托管学院认可的活动。</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（2）文化活动主要为新生文艺汇演、党史国情知识竞赛、校史知识竞赛、军训大合唱比赛、院迎新晚会等托管学院认定的活动，参与方式为表演或作为工作人员；</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（3）参加活动以院系、学校相关组织提供的参与证明；</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（4）此加分项 2 分封顶。</w:t>
      </w:r>
    </w:p>
    <w:p>
      <w:pPr>
        <w:numPr>
          <w:ilvl w:val="0"/>
          <w:numId w:val="0"/>
        </w:numPr>
        <w:ind w:right="0" w:rightChars="0"/>
        <w:jc w:val="both"/>
        <w:rPr>
          <w:rFonts w:hint="eastAsia"/>
          <w:b/>
          <w:bCs/>
          <w:sz w:val="28"/>
          <w:szCs w:val="28"/>
          <w:lang w:val="en-US" w:eastAsia="zh-CN"/>
        </w:rPr>
      </w:pPr>
      <w:r>
        <w:rPr>
          <w:rFonts w:hint="eastAsia"/>
          <w:b/>
          <w:bCs/>
          <w:sz w:val="28"/>
          <w:szCs w:val="28"/>
          <w:lang w:val="en-US" w:eastAsia="zh-CN"/>
        </w:rPr>
        <w:t>（四）卫生类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5513"/>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524" w:type="dxa"/>
            <w:vAlign w:val="center"/>
          </w:tcPr>
          <w:p>
            <w:pPr>
              <w:widowControl w:val="0"/>
              <w:autoSpaceDE w:val="0"/>
              <w:autoSpaceDN w:val="0"/>
              <w:spacing w:before="70" w:after="0" w:line="240" w:lineRule="auto"/>
              <w:ind w:left="216" w:right="204"/>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类别</w:t>
            </w:r>
          </w:p>
        </w:tc>
        <w:tc>
          <w:tcPr>
            <w:tcW w:w="5513" w:type="dxa"/>
            <w:vAlign w:val="center"/>
          </w:tcPr>
          <w:p>
            <w:pPr>
              <w:widowControl w:val="0"/>
              <w:autoSpaceDE w:val="0"/>
              <w:autoSpaceDN w:val="0"/>
              <w:spacing w:before="68" w:after="0" w:line="240" w:lineRule="auto"/>
              <w:ind w:left="872" w:right="861"/>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等级</w:t>
            </w:r>
          </w:p>
        </w:tc>
        <w:tc>
          <w:tcPr>
            <w:tcW w:w="1486" w:type="dxa"/>
          </w:tcPr>
          <w:p>
            <w:pPr>
              <w:widowControl w:val="0"/>
              <w:autoSpaceDE w:val="0"/>
              <w:autoSpaceDN w:val="0"/>
              <w:spacing w:before="68" w:after="0" w:line="240" w:lineRule="auto"/>
              <w:ind w:left="513" w:right="502"/>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524" w:type="dxa"/>
            <w:vAlign w:val="center"/>
          </w:tcPr>
          <w:p>
            <w:pPr>
              <w:widowControl w:val="0"/>
              <w:autoSpaceDE w:val="0"/>
              <w:autoSpaceDN w:val="0"/>
              <w:spacing w:before="152" w:after="0" w:line="240" w:lineRule="auto"/>
              <w:ind w:right="207"/>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宿舍卫生分</w:t>
            </w:r>
          </w:p>
        </w:tc>
        <w:tc>
          <w:tcPr>
            <w:tcW w:w="5513" w:type="dxa"/>
            <w:vAlign w:val="center"/>
          </w:tcPr>
          <w:p>
            <w:pPr>
              <w:widowControl w:val="0"/>
              <w:autoSpaceDE w:val="0"/>
              <w:autoSpaceDN w:val="0"/>
              <w:spacing w:before="135" w:after="0" w:line="240" w:lineRule="auto"/>
              <w:ind w:right="863"/>
              <w:jc w:val="center"/>
              <w:rPr>
                <w:rFonts w:ascii="仿宋" w:hAnsi="仿宋" w:eastAsia="仿宋" w:cs="仿宋"/>
                <w:sz w:val="24"/>
                <w:szCs w:val="28"/>
                <w:lang w:val="zh-CN" w:eastAsia="zh-CN" w:bidi="zh-CN"/>
              </w:rPr>
            </w:pPr>
            <w:r>
              <w:rPr>
                <w:rFonts w:ascii="仿宋" w:hAnsi="仿宋" w:eastAsia="仿宋" w:cs="仿宋"/>
                <w:sz w:val="24"/>
                <w:szCs w:val="28"/>
                <w:lang w:val="zh-CN" w:eastAsia="zh-CN" w:bidi="zh-CN"/>
              </w:rPr>
              <w:t xml:space="preserve">第一学年宿舍卫生个人平均分 </w:t>
            </w:r>
            <w:r>
              <w:rPr>
                <w:rFonts w:ascii="Times New Roman" w:hAnsi="仿宋" w:eastAsia="Times New Roman" w:cs="仿宋"/>
                <w:sz w:val="24"/>
                <w:szCs w:val="28"/>
                <w:lang w:val="zh-CN" w:eastAsia="zh-CN" w:bidi="zh-CN"/>
              </w:rPr>
              <w:t xml:space="preserve">85 </w:t>
            </w:r>
            <w:r>
              <w:rPr>
                <w:rFonts w:ascii="仿宋" w:hAnsi="仿宋" w:eastAsia="仿宋" w:cs="仿宋"/>
                <w:sz w:val="24"/>
                <w:szCs w:val="28"/>
                <w:lang w:val="zh-CN" w:eastAsia="zh-CN" w:bidi="zh-CN"/>
              </w:rPr>
              <w:t>分以上</w:t>
            </w:r>
          </w:p>
        </w:tc>
        <w:tc>
          <w:tcPr>
            <w:tcW w:w="1486" w:type="dxa"/>
          </w:tcPr>
          <w:p>
            <w:pPr>
              <w:widowControl w:val="0"/>
              <w:autoSpaceDE w:val="0"/>
              <w:autoSpaceDN w:val="0"/>
              <w:spacing w:before="149" w:after="0" w:line="240" w:lineRule="auto"/>
              <w:ind w:left="7" w:right="0"/>
              <w:jc w:val="center"/>
              <w:rPr>
                <w:rFonts w:ascii="Times New Roman" w:hAnsi="仿宋" w:eastAsia="仿宋" w:cs="仿宋"/>
                <w:sz w:val="24"/>
                <w:szCs w:val="28"/>
                <w:lang w:val="zh-CN" w:eastAsia="zh-CN" w:bidi="zh-CN"/>
              </w:rPr>
            </w:pPr>
            <w:r>
              <w:rPr>
                <w:rFonts w:ascii="Times New Roman" w:hAnsi="仿宋" w:eastAsia="仿宋" w:cs="仿宋"/>
                <w:w w:val="100"/>
                <w:sz w:val="24"/>
                <w:szCs w:val="28"/>
                <w:lang w:val="zh-CN" w:eastAsia="zh-CN" w:bidi="zh-CN"/>
              </w:rPr>
              <w:t>1</w:t>
            </w:r>
          </w:p>
        </w:tc>
      </w:tr>
    </w:tbl>
    <w:p>
      <w:pPr>
        <w:numPr>
          <w:ilvl w:val="0"/>
          <w:numId w:val="0"/>
        </w:numPr>
        <w:ind w:right="0" w:rightChars="0"/>
        <w:rPr>
          <w:rFonts w:hint="eastAsia"/>
          <w:sz w:val="28"/>
          <w:szCs w:val="28"/>
          <w:lang w:val="en-US" w:eastAsia="zh-CN"/>
        </w:rPr>
      </w:pPr>
      <w:r>
        <w:rPr>
          <w:rFonts w:hint="eastAsia"/>
          <w:sz w:val="28"/>
          <w:szCs w:val="28"/>
          <w:lang w:val="en-US" w:eastAsia="zh-CN"/>
        </w:rPr>
        <w:t>说明：</w:t>
      </w:r>
    </w:p>
    <w:p>
      <w:pPr>
        <w:keepNext w:val="0"/>
        <w:keepLines w:val="0"/>
        <w:pageBreakBefore w:val="0"/>
        <w:widowControl w:val="0"/>
        <w:numPr>
          <w:ilvl w:val="0"/>
          <w:numId w:val="1"/>
        </w:numPr>
        <w:kinsoku/>
        <w:wordWrap/>
        <w:overflowPunct/>
        <w:topLinePunct w:val="0"/>
        <w:autoSpaceDE w:val="0"/>
        <w:autoSpaceDN w:val="0"/>
        <w:bidi w:val="0"/>
        <w:adjustRightInd/>
        <w:snapToGrid/>
        <w:ind w:right="0" w:rightChars="0" w:firstLine="560" w:firstLineChars="200"/>
        <w:textAlignment w:val="auto"/>
        <w:rPr>
          <w:rFonts w:hint="eastAsia"/>
          <w:sz w:val="28"/>
          <w:szCs w:val="28"/>
          <w:lang w:val="en-US" w:eastAsia="zh-CN"/>
        </w:rPr>
      </w:pPr>
      <w:r>
        <w:rPr>
          <w:rFonts w:hint="eastAsia"/>
          <w:sz w:val="28"/>
          <w:szCs w:val="28"/>
          <w:lang w:val="en-US" w:eastAsia="zh-CN"/>
        </w:rPr>
        <w:t>如在分流统计加分时总务处未能提供学生全学年宿舍卫生平均分，则以第一学期宿舍卫生个人平均分为加分依据。</w:t>
      </w:r>
    </w:p>
    <w:p>
      <w:pPr>
        <w:numPr>
          <w:ilvl w:val="0"/>
          <w:numId w:val="0"/>
        </w:numPr>
        <w:ind w:right="0" w:rightChars="0" w:firstLine="562" w:firstLineChars="200"/>
        <w:rPr>
          <w:rFonts w:hint="default"/>
          <w:b/>
          <w:bCs/>
          <w:sz w:val="28"/>
          <w:szCs w:val="28"/>
          <w:lang w:val="en-US" w:eastAsia="zh-CN"/>
        </w:rPr>
      </w:pPr>
      <w:r>
        <w:rPr>
          <w:rFonts w:hint="default"/>
          <w:b/>
          <w:bCs/>
          <w:sz w:val="28"/>
          <w:szCs w:val="28"/>
          <w:lang w:val="en-US" w:eastAsia="zh-CN"/>
        </w:rPr>
        <w:t>三、管理与审核说明</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default"/>
          <w:sz w:val="28"/>
          <w:szCs w:val="28"/>
          <w:lang w:val="en-US" w:eastAsia="zh-CN"/>
        </w:rPr>
      </w:pPr>
      <w:r>
        <w:rPr>
          <w:rFonts w:hint="default"/>
          <w:sz w:val="28"/>
          <w:szCs w:val="28"/>
          <w:lang w:val="en-US" w:eastAsia="zh-CN"/>
        </w:rPr>
        <w:t>1.素质分为上述各方面的分数之和，</w:t>
      </w:r>
      <w:r>
        <w:rPr>
          <w:rFonts w:hint="eastAsia"/>
          <w:sz w:val="28"/>
          <w:szCs w:val="28"/>
          <w:lang w:val="en-US" w:eastAsia="zh-CN"/>
        </w:rPr>
        <w:t>封顶10分，</w:t>
      </w:r>
      <w:r>
        <w:rPr>
          <w:rFonts w:hint="default"/>
          <w:sz w:val="28"/>
          <w:szCs w:val="28"/>
          <w:lang w:val="en-US" w:eastAsia="zh-CN"/>
        </w:rPr>
        <w:t>素质分每学年结算一次。</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default"/>
          <w:sz w:val="28"/>
          <w:szCs w:val="28"/>
          <w:lang w:val="en-US" w:eastAsia="zh-CN"/>
        </w:rPr>
      </w:pPr>
      <w:r>
        <w:rPr>
          <w:rFonts w:hint="default"/>
          <w:sz w:val="28"/>
          <w:szCs w:val="28"/>
          <w:lang w:val="en-US" w:eastAsia="zh-CN"/>
        </w:rPr>
        <w:t>2.同一大类中的相同性质但是不同等级的加分项，只按最高加分项计分</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default"/>
          <w:sz w:val="28"/>
          <w:szCs w:val="28"/>
          <w:lang w:val="en-US" w:eastAsia="zh-CN"/>
        </w:rPr>
      </w:pPr>
      <w:r>
        <w:rPr>
          <w:rFonts w:hint="default"/>
          <w:sz w:val="28"/>
          <w:szCs w:val="28"/>
          <w:lang w:val="en-US" w:eastAsia="zh-CN"/>
        </w:rPr>
        <w:t>3.所获荣誉或工作表现需得到相关认可，查验情况属实后方可给予相应素质分数，如出现编造虚假信息、未认真履行义务、肆意诽谤他人的情况，学生办公室将依据情节轻重给予相应处分。</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rPr>
          <w:rFonts w:hint="default"/>
          <w:sz w:val="28"/>
          <w:szCs w:val="28"/>
          <w:lang w:val="en-US" w:eastAsia="zh-CN"/>
        </w:rPr>
      </w:pPr>
      <w:r>
        <w:rPr>
          <w:rFonts w:hint="default"/>
          <w:sz w:val="28"/>
          <w:szCs w:val="28"/>
          <w:lang w:val="en-US" w:eastAsia="zh-CN"/>
        </w:rPr>
        <w:t>4.</w:t>
      </w:r>
      <w:r>
        <w:rPr>
          <w:rFonts w:hint="eastAsia"/>
          <w:sz w:val="28"/>
          <w:szCs w:val="28"/>
          <w:highlight w:val="yellow"/>
          <w:lang w:val="en-US" w:eastAsia="zh-CN"/>
        </w:rPr>
        <w:t>学生综合素质分以专业分流时公示的综合能力加分结果为准进行认定。</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2" w:firstLineChars="200"/>
        <w:textAlignment w:val="auto"/>
        <w:rPr>
          <w:rFonts w:hint="default"/>
          <w:b/>
          <w:bCs/>
          <w:sz w:val="28"/>
          <w:szCs w:val="28"/>
          <w:lang w:val="en-US" w:eastAsia="zh-CN"/>
        </w:rPr>
      </w:pPr>
      <w:r>
        <w:rPr>
          <w:rFonts w:hint="default"/>
          <w:b/>
          <w:bCs/>
          <w:sz w:val="28"/>
          <w:szCs w:val="28"/>
          <w:lang w:val="en-US" w:eastAsia="zh-CN"/>
        </w:rPr>
        <w:t>本条例解释权归工商管理类20</w:t>
      </w:r>
      <w:r>
        <w:rPr>
          <w:rFonts w:hint="eastAsia"/>
          <w:b/>
          <w:bCs/>
          <w:sz w:val="28"/>
          <w:szCs w:val="28"/>
          <w:lang w:val="en-US" w:eastAsia="zh-CN"/>
        </w:rPr>
        <w:t>20</w:t>
      </w:r>
      <w:r>
        <w:rPr>
          <w:rFonts w:hint="default"/>
          <w:b/>
          <w:bCs/>
          <w:sz w:val="28"/>
          <w:szCs w:val="28"/>
          <w:lang w:val="en-US" w:eastAsia="zh-CN"/>
        </w:rPr>
        <w:t>级本科生评优工作组所有。</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2" w:firstLineChars="200"/>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2" w:firstLineChars="200"/>
        <w:textAlignment w:val="auto"/>
        <w:rPr>
          <w:rFonts w:hint="default"/>
          <w:b/>
          <w:bCs/>
          <w:sz w:val="28"/>
          <w:szCs w:val="28"/>
          <w:lang w:val="en-US" w:eastAsia="zh-CN"/>
        </w:rPr>
      </w:pPr>
      <w:bookmarkStart w:id="0" w:name="_GoBack"/>
      <w:bookmarkEnd w:id="0"/>
    </w:p>
    <w:p>
      <w:pPr>
        <w:numPr>
          <w:ilvl w:val="0"/>
          <w:numId w:val="0"/>
        </w:numPr>
        <w:ind w:right="0" w:rightChars="0"/>
        <w:jc w:val="right"/>
        <w:rPr>
          <w:rFonts w:hint="default"/>
          <w:sz w:val="28"/>
          <w:szCs w:val="28"/>
          <w:lang w:val="en-US" w:eastAsia="zh-CN"/>
        </w:rPr>
      </w:pPr>
      <w:r>
        <w:rPr>
          <w:rFonts w:hint="default"/>
          <w:sz w:val="28"/>
          <w:szCs w:val="28"/>
          <w:lang w:val="en-US" w:eastAsia="zh-CN"/>
        </w:rPr>
        <w:t>工商管理类本科生评优工作组</w:t>
      </w:r>
    </w:p>
    <w:p>
      <w:pPr>
        <w:numPr>
          <w:ilvl w:val="0"/>
          <w:numId w:val="0"/>
        </w:numPr>
        <w:ind w:right="0" w:rightChars="0"/>
        <w:jc w:val="right"/>
        <w:rPr>
          <w:rFonts w:hint="default"/>
          <w:sz w:val="28"/>
          <w:szCs w:val="28"/>
          <w:lang w:val="en-US" w:eastAsia="zh-CN"/>
        </w:rPr>
      </w:pPr>
      <w:r>
        <w:rPr>
          <w:rFonts w:hint="default"/>
          <w:sz w:val="28"/>
          <w:szCs w:val="28"/>
          <w:lang w:val="en-US" w:eastAsia="zh-CN"/>
        </w:rPr>
        <w:t>202</w:t>
      </w:r>
      <w:r>
        <w:rPr>
          <w:rFonts w:hint="eastAsia"/>
          <w:sz w:val="28"/>
          <w:szCs w:val="28"/>
          <w:lang w:val="en-US" w:eastAsia="zh-CN"/>
        </w:rPr>
        <w:t>1</w:t>
      </w:r>
      <w:r>
        <w:rPr>
          <w:rFonts w:hint="default"/>
          <w:sz w:val="28"/>
          <w:szCs w:val="28"/>
          <w:lang w:val="en-US" w:eastAsia="zh-CN"/>
        </w:rPr>
        <w:t>年</w:t>
      </w:r>
      <w:r>
        <w:rPr>
          <w:rFonts w:hint="eastAsia"/>
          <w:sz w:val="28"/>
          <w:szCs w:val="28"/>
          <w:lang w:val="en-US" w:eastAsia="zh-CN"/>
        </w:rPr>
        <w:t>8</w:t>
      </w:r>
      <w:r>
        <w:rPr>
          <w:rFonts w:hint="default"/>
          <w:sz w:val="28"/>
          <w:szCs w:val="28"/>
          <w:lang w:val="en-US" w:eastAsia="zh-CN"/>
        </w:rPr>
        <w:t>月</w:t>
      </w:r>
      <w:r>
        <w:rPr>
          <w:rFonts w:hint="eastAsia"/>
          <w:sz w:val="28"/>
          <w:szCs w:val="28"/>
          <w:lang w:val="en-US" w:eastAsia="zh-CN"/>
        </w:rPr>
        <w:t>2</w:t>
      </w:r>
      <w:r>
        <w:rPr>
          <w:rFonts w:hint="default"/>
          <w:sz w:val="28"/>
          <w:szCs w:val="28"/>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689A7"/>
    <w:multiLevelType w:val="singleLevel"/>
    <w:tmpl w:val="DA8689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55775"/>
    <w:rsid w:val="0B08786B"/>
    <w:rsid w:val="10DE25C3"/>
    <w:rsid w:val="3AB26AF6"/>
    <w:rsid w:val="3E8B476F"/>
    <w:rsid w:val="46520108"/>
    <w:rsid w:val="4B80575A"/>
    <w:rsid w:val="74A5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840"/>
      <w:outlineLvl w:val="1"/>
    </w:pPr>
    <w:rPr>
      <w:rFonts w:ascii="仿宋" w:hAnsi="仿宋" w:eastAsia="仿宋" w:cs="仿宋"/>
      <w:b/>
      <w:bCs/>
      <w:sz w:val="28"/>
      <w:szCs w:val="28"/>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 w:type="character" w:styleId="6">
    <w:name w:val="Hyperlink"/>
    <w:basedOn w:val="4"/>
    <w:qFormat/>
    <w:uiPriority w:val="0"/>
    <w:rPr>
      <w:color w:val="0000FF"/>
      <w:u w:val="single"/>
    </w:rPr>
  </w:style>
  <w:style w:type="paragraph" w:customStyle="1" w:styleId="7">
    <w:name w:val="Table Paragraph"/>
    <w:basedOn w:val="1"/>
    <w:qFormat/>
    <w:uiPriority w:val="1"/>
    <w:pPr>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2021-06-27T10:39:00Z</dcterms:created>
  <dc:creator>王云</dc:creator>
  <cp:lastModifiedBy>王云</cp:lastModifiedBy>
  <dcterms:modified xsi:type="dcterms:W3CDTF">2021-08-29T11:24:50Z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