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E" w:rsidRPr="004D5112" w:rsidRDefault="008F5DEE" w:rsidP="008F5DEE">
      <w:pPr>
        <w:spacing w:line="300" w:lineRule="auto"/>
        <w:jc w:val="center"/>
        <w:rPr>
          <w:rFonts w:ascii="华文行楷" w:eastAsia="华文行楷" w:hint="eastAsia"/>
          <w:bCs/>
          <w:shadow/>
          <w:sz w:val="32"/>
        </w:rPr>
      </w:pPr>
      <w:bookmarkStart w:id="0" w:name="_GoBack"/>
      <w:bookmarkEnd w:id="0"/>
      <w:r w:rsidRPr="004D5112">
        <w:rPr>
          <w:rFonts w:ascii="华文行楷" w:eastAsia="华文行楷" w:hint="eastAsia"/>
          <w:bCs/>
          <w:shadow/>
          <w:sz w:val="32"/>
        </w:rPr>
        <w:t>项目支出计划</w:t>
      </w:r>
    </w:p>
    <w:p w:rsidR="008F5DEE" w:rsidRDefault="008F5DEE" w:rsidP="008F5DEE">
      <w:pPr>
        <w:rPr>
          <w:rFonts w:hint="eastAsia"/>
        </w:rPr>
      </w:pPr>
    </w:p>
    <w:tbl>
      <w:tblPr>
        <w:tblW w:w="457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3149"/>
        <w:gridCol w:w="3149"/>
      </w:tblGrid>
      <w:tr w:rsidR="008F5DEE" w:rsidRPr="00ED6AEC" w:rsidTr="0046206E">
        <w:tblPrEx>
          <w:tblCellMar>
            <w:top w:w="0" w:type="dxa"/>
            <w:bottom w:w="0" w:type="dxa"/>
          </w:tblCellMar>
        </w:tblPrEx>
        <w:trPr>
          <w:trHeight w:val="630"/>
        </w:trPr>
        <w:tc>
          <w:tcPr>
            <w:tcW w:w="1376" w:type="pct"/>
            <w:vAlign w:val="center"/>
          </w:tcPr>
          <w:p w:rsidR="008F5DEE" w:rsidRPr="00743F0D" w:rsidRDefault="008F5DEE" w:rsidP="0046206E">
            <w:pPr>
              <w:ind w:firstLineChars="100" w:firstLine="211"/>
              <w:jc w:val="center"/>
              <w:rPr>
                <w:rFonts w:ascii="宋体" w:hAnsi="宋体" w:hint="eastAsia"/>
                <w:b/>
                <w:szCs w:val="21"/>
              </w:rPr>
            </w:pPr>
            <w:r w:rsidRPr="00743F0D">
              <w:rPr>
                <w:rFonts w:ascii="宋体" w:hAnsi="宋体" w:hint="eastAsia"/>
                <w:b/>
                <w:szCs w:val="21"/>
              </w:rPr>
              <w:t>经济分类</w:t>
            </w:r>
          </w:p>
        </w:tc>
        <w:tc>
          <w:tcPr>
            <w:tcW w:w="1812" w:type="pct"/>
            <w:vAlign w:val="center"/>
          </w:tcPr>
          <w:p w:rsidR="008F5DEE" w:rsidRPr="00ED6AEC" w:rsidRDefault="008F5DEE" w:rsidP="0046206E">
            <w:pPr>
              <w:jc w:val="center"/>
              <w:rPr>
                <w:rFonts w:ascii="宋体" w:hAnsi="宋体" w:hint="eastAsia"/>
                <w:b/>
                <w:szCs w:val="21"/>
              </w:rPr>
            </w:pPr>
            <w:r w:rsidRPr="00ED6AEC">
              <w:rPr>
                <w:rFonts w:ascii="宋体" w:hAnsi="宋体" w:hint="eastAsia"/>
                <w:b/>
                <w:szCs w:val="21"/>
              </w:rPr>
              <w:t>201</w:t>
            </w:r>
            <w:r>
              <w:rPr>
                <w:rFonts w:ascii="宋体" w:hAnsi="宋体" w:hint="eastAsia"/>
                <w:b/>
                <w:szCs w:val="21"/>
              </w:rPr>
              <w:t>8</w:t>
            </w:r>
            <w:r w:rsidRPr="00ED6AEC">
              <w:rPr>
                <w:rFonts w:ascii="宋体" w:hAnsi="宋体" w:hint="eastAsia"/>
                <w:b/>
                <w:szCs w:val="21"/>
              </w:rPr>
              <w:t xml:space="preserve"> 年（万元）</w:t>
            </w:r>
          </w:p>
        </w:tc>
        <w:tc>
          <w:tcPr>
            <w:tcW w:w="1812" w:type="pct"/>
          </w:tcPr>
          <w:p w:rsidR="008F5DEE" w:rsidRPr="00ED6AEC" w:rsidRDefault="008F5DEE" w:rsidP="0046206E">
            <w:pPr>
              <w:jc w:val="center"/>
              <w:rPr>
                <w:rFonts w:ascii="宋体" w:hAnsi="宋体" w:hint="eastAsia"/>
                <w:b/>
                <w:szCs w:val="21"/>
              </w:rPr>
            </w:pPr>
          </w:p>
        </w:tc>
      </w:tr>
      <w:tr w:rsidR="008F5DEE" w:rsidTr="0046206E">
        <w:tblPrEx>
          <w:tblCellMar>
            <w:top w:w="0" w:type="dxa"/>
            <w:bottom w:w="0" w:type="dxa"/>
          </w:tblCellMar>
        </w:tblPrEx>
        <w:trPr>
          <w:trHeight w:val="440"/>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办公费</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Pr>
                <w:rFonts w:ascii="宋体" w:hAnsi="宋体" w:hint="eastAsia"/>
                <w:szCs w:val="21"/>
              </w:rPr>
              <w:t>反映单位购买日常办公用品、书报杂志等支出。</w:t>
            </w:r>
          </w:p>
        </w:tc>
      </w:tr>
      <w:tr w:rsidR="008F5DEE" w:rsidTr="0046206E">
        <w:tblPrEx>
          <w:tblCellMar>
            <w:top w:w="0" w:type="dxa"/>
            <w:bottom w:w="0" w:type="dxa"/>
          </w:tblCellMar>
        </w:tblPrEx>
        <w:trPr>
          <w:trHeight w:val="440"/>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印刷费</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sidRPr="0024768D">
              <w:rPr>
                <w:rFonts w:ascii="宋体" w:hAnsi="宋体" w:hint="eastAsia"/>
                <w:szCs w:val="21"/>
              </w:rPr>
              <w:t>专著出版也是印刷费</w:t>
            </w:r>
            <w:r>
              <w:rPr>
                <w:rFonts w:ascii="宋体" w:hAnsi="宋体" w:hint="eastAsia"/>
                <w:szCs w:val="21"/>
              </w:rPr>
              <w:t>。</w:t>
            </w:r>
          </w:p>
        </w:tc>
      </w:tr>
      <w:tr w:rsidR="008F5DEE" w:rsidTr="0046206E">
        <w:tblPrEx>
          <w:tblCellMar>
            <w:top w:w="0" w:type="dxa"/>
            <w:bottom w:w="0" w:type="dxa"/>
          </w:tblCellMar>
        </w:tblPrEx>
        <w:trPr>
          <w:trHeight w:val="461"/>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邮电费</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Pr>
                <w:rFonts w:ascii="宋体" w:hAnsi="宋体" w:hint="eastAsia"/>
                <w:szCs w:val="21"/>
              </w:rPr>
              <w:t>反映单位开支的信函、包裹、货物等物品的邮寄费及电话费、电报费、传真费、网络通讯费等。</w:t>
            </w:r>
          </w:p>
        </w:tc>
      </w:tr>
      <w:tr w:rsidR="008F5DEE" w:rsidTr="0046206E">
        <w:tblPrEx>
          <w:tblCellMar>
            <w:top w:w="0" w:type="dxa"/>
            <w:bottom w:w="0" w:type="dxa"/>
          </w:tblCellMar>
        </w:tblPrEx>
        <w:trPr>
          <w:trHeight w:val="461"/>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差旅费</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sidRPr="00B31600">
              <w:rPr>
                <w:rFonts w:ascii="宋体" w:hAnsi="宋体" w:hint="eastAsia"/>
                <w:szCs w:val="21"/>
              </w:rPr>
              <w:t>反映单位工作人员国（境）内出差发生的城市间交通费、住宿费、伙食补助费和市内交通费</w:t>
            </w:r>
            <w:r>
              <w:rPr>
                <w:rFonts w:ascii="宋体" w:hAnsi="宋体" w:hint="eastAsia"/>
                <w:szCs w:val="21"/>
              </w:rPr>
              <w:t>。</w:t>
            </w:r>
          </w:p>
        </w:tc>
      </w:tr>
      <w:tr w:rsidR="008F5DEE" w:rsidTr="0046206E">
        <w:tblPrEx>
          <w:tblCellMar>
            <w:top w:w="0" w:type="dxa"/>
            <w:bottom w:w="0" w:type="dxa"/>
          </w:tblCellMar>
        </w:tblPrEx>
        <w:trPr>
          <w:trHeight w:val="461"/>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因公出国（境）费用</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Pr>
                <w:rFonts w:ascii="宋体" w:hAnsi="宋体" w:hint="eastAsia"/>
                <w:szCs w:val="21"/>
              </w:rPr>
              <w:t>单位</w:t>
            </w:r>
            <w:r w:rsidRPr="005E31D1">
              <w:rPr>
                <w:rFonts w:ascii="宋体" w:hAnsi="宋体" w:hint="eastAsia"/>
                <w:szCs w:val="21"/>
              </w:rPr>
              <w:t>公务出国（境）的国际旅费、国外城市间交通费、住宿费、伙食费、培训费、公杂费等支出。</w:t>
            </w:r>
          </w:p>
        </w:tc>
      </w:tr>
      <w:tr w:rsidR="008F5DEE" w:rsidRPr="00CC6E13" w:rsidTr="0046206E">
        <w:tblPrEx>
          <w:tblCellMar>
            <w:top w:w="0" w:type="dxa"/>
            <w:bottom w:w="0" w:type="dxa"/>
          </w:tblCellMar>
        </w:tblPrEx>
        <w:trPr>
          <w:trHeight w:val="461"/>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维修（护）费</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Pr>
                <w:rFonts w:ascii="宋体" w:hAnsi="宋体" w:hint="eastAsia"/>
                <w:szCs w:val="21"/>
              </w:rPr>
              <w:t>反映单位日常开支的固定资产（不包括车船等交通工具）修理和维护费用，网络信息系统运行与维护费用，以及按规定提取的修购基金。</w:t>
            </w:r>
          </w:p>
        </w:tc>
      </w:tr>
      <w:tr w:rsidR="008F5DEE" w:rsidTr="0046206E">
        <w:tblPrEx>
          <w:tblCellMar>
            <w:top w:w="0" w:type="dxa"/>
            <w:bottom w:w="0" w:type="dxa"/>
          </w:tblCellMar>
        </w:tblPrEx>
        <w:trPr>
          <w:trHeight w:val="461"/>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会议费</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Pr>
                <w:rFonts w:ascii="宋体" w:hAnsi="宋体" w:hint="eastAsia"/>
                <w:szCs w:val="21"/>
              </w:rPr>
              <w:t>反映单位在会议期间按规定开支的住宿费、伙食费、会议场地租金、交通费、文件印刷费、医药费等。</w:t>
            </w:r>
          </w:p>
        </w:tc>
      </w:tr>
      <w:tr w:rsidR="008F5DEE" w:rsidTr="0046206E">
        <w:tblPrEx>
          <w:tblCellMar>
            <w:top w:w="0" w:type="dxa"/>
            <w:bottom w:w="0" w:type="dxa"/>
          </w:tblCellMar>
        </w:tblPrEx>
        <w:trPr>
          <w:trHeight w:val="461"/>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专用材料费</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sidRPr="00E57A6B">
              <w:rPr>
                <w:rFonts w:ascii="宋体" w:hAnsi="宋体" w:hint="eastAsia"/>
                <w:szCs w:val="21"/>
              </w:rPr>
              <w:t>购买日常专用材料的支出</w:t>
            </w:r>
            <w:r>
              <w:rPr>
                <w:rFonts w:ascii="宋体" w:hAnsi="宋体" w:hint="eastAsia"/>
                <w:szCs w:val="21"/>
              </w:rPr>
              <w:t>。</w:t>
            </w:r>
          </w:p>
        </w:tc>
      </w:tr>
      <w:tr w:rsidR="008F5DEE" w:rsidTr="0046206E">
        <w:tblPrEx>
          <w:tblCellMar>
            <w:top w:w="0" w:type="dxa"/>
            <w:bottom w:w="0" w:type="dxa"/>
          </w:tblCellMar>
        </w:tblPrEx>
        <w:trPr>
          <w:trHeight w:val="461"/>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劳务费</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sidRPr="00E57A6B">
              <w:rPr>
                <w:rFonts w:ascii="宋体" w:hAnsi="宋体" w:hint="eastAsia"/>
                <w:szCs w:val="21"/>
              </w:rPr>
              <w:t>反映支付给外单位和个人的劳务费用，如临时聘用人员、钟点工工资，稿费、翻译费、评审费等</w:t>
            </w:r>
            <w:r>
              <w:rPr>
                <w:rFonts w:ascii="宋体" w:hAnsi="宋体" w:hint="eastAsia"/>
                <w:szCs w:val="21"/>
              </w:rPr>
              <w:t>。</w:t>
            </w:r>
          </w:p>
        </w:tc>
      </w:tr>
      <w:tr w:rsidR="008F5DEE" w:rsidTr="0046206E">
        <w:tblPrEx>
          <w:tblCellMar>
            <w:top w:w="0" w:type="dxa"/>
            <w:bottom w:w="0" w:type="dxa"/>
          </w:tblCellMar>
        </w:tblPrEx>
        <w:trPr>
          <w:trHeight w:val="461"/>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其他交通费用</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Pr>
                <w:rFonts w:ascii="宋体" w:hAnsi="宋体" w:hint="eastAsia"/>
                <w:szCs w:val="21"/>
              </w:rPr>
              <w:t>反映单位除公务用车运行维护</w:t>
            </w:r>
            <w:r>
              <w:rPr>
                <w:rFonts w:ascii="宋体" w:hAnsi="宋体" w:hint="eastAsia"/>
                <w:szCs w:val="21"/>
              </w:rPr>
              <w:lastRenderedPageBreak/>
              <w:t>费以外的其他交通费用，如公务交通补贴，租车费用、出租车费用，飞机、船舶等燃料费、维修费、保险费等。</w:t>
            </w:r>
          </w:p>
        </w:tc>
      </w:tr>
      <w:tr w:rsidR="008F5DEE" w:rsidTr="0046206E">
        <w:tblPrEx>
          <w:tblCellMar>
            <w:top w:w="0" w:type="dxa"/>
            <w:bottom w:w="0" w:type="dxa"/>
          </w:tblCellMar>
        </w:tblPrEx>
        <w:trPr>
          <w:trHeight w:val="461"/>
        </w:trPr>
        <w:tc>
          <w:tcPr>
            <w:tcW w:w="1376" w:type="pct"/>
            <w:vAlign w:val="center"/>
          </w:tcPr>
          <w:p w:rsidR="008F5DEE" w:rsidRDefault="008F5DEE" w:rsidP="0046206E">
            <w:pPr>
              <w:jc w:val="center"/>
              <w:rPr>
                <w:rFonts w:ascii="宋体" w:hAnsi="宋体" w:hint="eastAsia"/>
                <w:szCs w:val="21"/>
              </w:rPr>
            </w:pPr>
            <w:r w:rsidRPr="00E10DCF">
              <w:rPr>
                <w:rFonts w:ascii="宋体" w:hAnsi="宋体" w:hint="eastAsia"/>
                <w:szCs w:val="21"/>
              </w:rPr>
              <w:lastRenderedPageBreak/>
              <w:t>其他商品和服务支出</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sidRPr="00E10DCF">
              <w:rPr>
                <w:rFonts w:ascii="宋体" w:hAnsi="宋体" w:hint="eastAsia"/>
                <w:szCs w:val="21"/>
              </w:rPr>
              <w:t>邀请国外专家来校讲学算其他商品</w:t>
            </w:r>
            <w:r>
              <w:rPr>
                <w:rFonts w:ascii="宋体" w:hAnsi="宋体" w:hint="eastAsia"/>
                <w:szCs w:val="21"/>
              </w:rPr>
              <w:t>和</w:t>
            </w:r>
            <w:r w:rsidRPr="00E10DCF">
              <w:rPr>
                <w:rFonts w:ascii="宋体" w:hAnsi="宋体" w:hint="eastAsia"/>
                <w:szCs w:val="21"/>
              </w:rPr>
              <w:t>服务支出</w:t>
            </w:r>
            <w:r>
              <w:rPr>
                <w:rFonts w:ascii="宋体" w:hAnsi="宋体" w:hint="eastAsia"/>
                <w:szCs w:val="21"/>
              </w:rPr>
              <w:t>。</w:t>
            </w:r>
          </w:p>
        </w:tc>
      </w:tr>
      <w:tr w:rsidR="008F5DEE" w:rsidTr="0046206E">
        <w:tblPrEx>
          <w:tblCellMar>
            <w:top w:w="0" w:type="dxa"/>
            <w:bottom w:w="0" w:type="dxa"/>
          </w:tblCellMar>
        </w:tblPrEx>
        <w:trPr>
          <w:trHeight w:val="459"/>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办公设备购置</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Pr>
                <w:rFonts w:ascii="宋体" w:hAnsi="宋体" w:hint="eastAsia"/>
                <w:szCs w:val="21"/>
              </w:rPr>
              <w:t>反映用于购置并按财务会计制度规定纳入固定资产核算范围的办公家具和办公设备的支出，以及按规定提取的修购基金。</w:t>
            </w:r>
          </w:p>
        </w:tc>
      </w:tr>
      <w:tr w:rsidR="008F5DEE" w:rsidTr="0046206E">
        <w:tblPrEx>
          <w:tblCellMar>
            <w:top w:w="0" w:type="dxa"/>
            <w:bottom w:w="0" w:type="dxa"/>
          </w:tblCellMar>
        </w:tblPrEx>
        <w:trPr>
          <w:trHeight w:val="450"/>
        </w:trPr>
        <w:tc>
          <w:tcPr>
            <w:tcW w:w="1376" w:type="pct"/>
            <w:vAlign w:val="center"/>
          </w:tcPr>
          <w:p w:rsidR="008F5DEE" w:rsidRDefault="008F5DEE" w:rsidP="0046206E">
            <w:pPr>
              <w:jc w:val="center"/>
              <w:rPr>
                <w:rFonts w:ascii="宋体" w:hAnsi="宋体" w:hint="eastAsia"/>
                <w:szCs w:val="21"/>
              </w:rPr>
            </w:pPr>
            <w:r>
              <w:rPr>
                <w:rFonts w:ascii="宋体" w:hAnsi="宋体" w:hint="eastAsia"/>
                <w:szCs w:val="21"/>
              </w:rPr>
              <w:t>专用设备购置</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Pr>
                <w:rFonts w:ascii="宋体" w:hAnsi="宋体" w:hint="eastAsia"/>
                <w:szCs w:val="21"/>
              </w:rPr>
              <w:t>反映用于购置具有专门用途、并按财务会计制度规定纳入固定资产核算范围的各类专用设备的支出，如通信设备、发电设备、交通监控设备等，以及按规定提取的修购基金。</w:t>
            </w:r>
          </w:p>
        </w:tc>
      </w:tr>
      <w:tr w:rsidR="008F5DEE" w:rsidRPr="00312D71" w:rsidTr="0046206E">
        <w:tblPrEx>
          <w:tblCellMar>
            <w:top w:w="0" w:type="dxa"/>
            <w:bottom w:w="0" w:type="dxa"/>
          </w:tblCellMar>
        </w:tblPrEx>
        <w:trPr>
          <w:trHeight w:val="450"/>
        </w:trPr>
        <w:tc>
          <w:tcPr>
            <w:tcW w:w="1376" w:type="pct"/>
            <w:vAlign w:val="center"/>
          </w:tcPr>
          <w:p w:rsidR="008F5DEE" w:rsidRDefault="008F5DEE" w:rsidP="0046206E">
            <w:pPr>
              <w:jc w:val="center"/>
              <w:rPr>
                <w:rFonts w:ascii="宋体" w:hAnsi="宋体" w:hint="eastAsia"/>
                <w:szCs w:val="21"/>
              </w:rPr>
            </w:pPr>
            <w:r w:rsidRPr="00312D71">
              <w:rPr>
                <w:rFonts w:ascii="宋体" w:hAnsi="宋体" w:hint="eastAsia"/>
                <w:szCs w:val="21"/>
              </w:rPr>
              <w:t>信息网络及软件购置更新</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sidRPr="00312D71">
              <w:rPr>
                <w:rFonts w:ascii="宋体" w:hAnsi="宋体" w:hint="eastAsia"/>
                <w:szCs w:val="21"/>
              </w:rPr>
              <w:t>用于信息网络和软件方面的支出，如服务器购置、软件购置、开发、应用支出等</w:t>
            </w:r>
            <w:r>
              <w:rPr>
                <w:rFonts w:ascii="宋体" w:hAnsi="宋体" w:hint="eastAsia"/>
                <w:szCs w:val="21"/>
              </w:rPr>
              <w:t>。</w:t>
            </w:r>
          </w:p>
        </w:tc>
      </w:tr>
      <w:tr w:rsidR="008F5DEE" w:rsidRPr="00312D71" w:rsidTr="0046206E">
        <w:tblPrEx>
          <w:tblCellMar>
            <w:top w:w="0" w:type="dxa"/>
            <w:bottom w:w="0" w:type="dxa"/>
          </w:tblCellMar>
        </w:tblPrEx>
        <w:trPr>
          <w:trHeight w:val="450"/>
        </w:trPr>
        <w:tc>
          <w:tcPr>
            <w:tcW w:w="1376" w:type="pct"/>
            <w:vAlign w:val="center"/>
          </w:tcPr>
          <w:p w:rsidR="008F5DEE" w:rsidRDefault="008F5DEE" w:rsidP="0046206E">
            <w:pPr>
              <w:jc w:val="center"/>
              <w:rPr>
                <w:rFonts w:ascii="宋体" w:hAnsi="宋体" w:hint="eastAsia"/>
                <w:szCs w:val="21"/>
              </w:rPr>
            </w:pPr>
            <w:r w:rsidRPr="00312D71">
              <w:rPr>
                <w:rFonts w:ascii="宋体" w:hAnsi="宋体" w:hint="eastAsia"/>
                <w:szCs w:val="21"/>
              </w:rPr>
              <w:t>其他资本性支出</w:t>
            </w:r>
          </w:p>
        </w:tc>
        <w:tc>
          <w:tcPr>
            <w:tcW w:w="1812" w:type="pct"/>
            <w:vAlign w:val="center"/>
          </w:tcPr>
          <w:p w:rsidR="008F5DEE" w:rsidRDefault="008F5DEE" w:rsidP="0046206E">
            <w:pPr>
              <w:jc w:val="center"/>
              <w:rPr>
                <w:rFonts w:ascii="宋体" w:hAnsi="宋体" w:hint="eastAsia"/>
                <w:szCs w:val="21"/>
              </w:rPr>
            </w:pPr>
          </w:p>
        </w:tc>
        <w:tc>
          <w:tcPr>
            <w:tcW w:w="1812" w:type="pct"/>
            <w:vAlign w:val="center"/>
          </w:tcPr>
          <w:p w:rsidR="008F5DEE" w:rsidRDefault="008F5DEE" w:rsidP="0046206E">
            <w:pPr>
              <w:spacing w:line="360" w:lineRule="auto"/>
              <w:rPr>
                <w:rFonts w:ascii="宋体" w:hAnsi="宋体" w:hint="eastAsia"/>
                <w:szCs w:val="21"/>
              </w:rPr>
            </w:pPr>
            <w:r w:rsidRPr="00312D71">
              <w:rPr>
                <w:rFonts w:ascii="宋体" w:hAnsi="宋体" w:hint="eastAsia"/>
                <w:szCs w:val="21"/>
              </w:rPr>
              <w:t>图书如果做固定资产就做其他资本性支出，不做固定资产的图书只能在其他商品服务支出里</w:t>
            </w:r>
            <w:r>
              <w:rPr>
                <w:rFonts w:ascii="宋体" w:hAnsi="宋体" w:hint="eastAsia"/>
                <w:szCs w:val="21"/>
              </w:rPr>
              <w:t>。</w:t>
            </w:r>
          </w:p>
        </w:tc>
      </w:tr>
      <w:tr w:rsidR="008F5DEE" w:rsidTr="0046206E">
        <w:tblPrEx>
          <w:tblCellMar>
            <w:top w:w="0" w:type="dxa"/>
            <w:bottom w:w="0" w:type="dxa"/>
          </w:tblCellMar>
        </w:tblPrEx>
        <w:trPr>
          <w:trHeight w:val="445"/>
        </w:trPr>
        <w:tc>
          <w:tcPr>
            <w:tcW w:w="1376" w:type="pct"/>
            <w:vAlign w:val="center"/>
          </w:tcPr>
          <w:p w:rsidR="008F5DEE" w:rsidRPr="00113842" w:rsidRDefault="008F5DEE" w:rsidP="0046206E">
            <w:pPr>
              <w:jc w:val="center"/>
              <w:rPr>
                <w:rFonts w:ascii="宋体" w:hAnsi="宋体" w:hint="eastAsia"/>
                <w:b/>
                <w:szCs w:val="21"/>
              </w:rPr>
            </w:pPr>
            <w:r w:rsidRPr="00113842">
              <w:rPr>
                <w:rFonts w:ascii="宋体" w:hAnsi="宋体" w:hint="eastAsia"/>
                <w:b/>
                <w:szCs w:val="21"/>
              </w:rPr>
              <w:t>合计</w:t>
            </w:r>
          </w:p>
        </w:tc>
        <w:tc>
          <w:tcPr>
            <w:tcW w:w="1812" w:type="pct"/>
            <w:vAlign w:val="center"/>
          </w:tcPr>
          <w:p w:rsidR="008F5DEE" w:rsidRDefault="008F5DEE" w:rsidP="0046206E">
            <w:pPr>
              <w:jc w:val="center"/>
              <w:rPr>
                <w:rFonts w:ascii="宋体" w:hAnsi="宋体" w:hint="eastAsia"/>
                <w:szCs w:val="21"/>
              </w:rPr>
            </w:pPr>
          </w:p>
        </w:tc>
        <w:tc>
          <w:tcPr>
            <w:tcW w:w="1812" w:type="pct"/>
          </w:tcPr>
          <w:p w:rsidR="008F5DEE" w:rsidRDefault="008F5DEE" w:rsidP="0046206E">
            <w:pPr>
              <w:spacing w:line="360" w:lineRule="auto"/>
              <w:jc w:val="center"/>
              <w:rPr>
                <w:rFonts w:ascii="宋体" w:hAnsi="宋体" w:hint="eastAsia"/>
                <w:szCs w:val="21"/>
              </w:rPr>
            </w:pPr>
          </w:p>
        </w:tc>
      </w:tr>
    </w:tbl>
    <w:p w:rsidR="008F5DEE" w:rsidRDefault="008F5DEE" w:rsidP="008F5DEE">
      <w:pPr>
        <w:rPr>
          <w:rFonts w:hint="eastAsia"/>
        </w:rPr>
      </w:pPr>
    </w:p>
    <w:p w:rsidR="00E30F9C" w:rsidRPr="008F5DEE" w:rsidRDefault="00E30F9C" w:rsidP="008F5DEE"/>
    <w:sectPr w:rsidR="00E30F9C" w:rsidRPr="008F5DEE" w:rsidSect="002C1022">
      <w:footerReference w:type="even" r:id="rId6"/>
      <w:footerReference w:type="default" r:id="rId7"/>
      <w:pgSz w:w="12240" w:h="15840" w:code="1"/>
      <w:pgMar w:top="1440" w:right="1474" w:bottom="1440" w:left="1474" w:header="720" w:footer="720" w:gutter="0"/>
      <w:cols w:space="720"/>
      <w:docGrid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6FD" w:rsidRDefault="00C336FD" w:rsidP="00A05F22">
      <w:r>
        <w:separator/>
      </w:r>
    </w:p>
  </w:endnote>
  <w:endnote w:type="continuationSeparator" w:id="1">
    <w:p w:rsidR="00C336FD" w:rsidRDefault="00C336FD" w:rsidP="00A05F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DF" w:rsidRDefault="002C1022">
    <w:pPr>
      <w:pStyle w:val="a4"/>
      <w:framePr w:wrap="around" w:vAnchor="text" w:hAnchor="margin" w:xAlign="center" w:y="1"/>
      <w:rPr>
        <w:rStyle w:val="a5"/>
      </w:rPr>
    </w:pPr>
    <w:r>
      <w:rPr>
        <w:rStyle w:val="a5"/>
      </w:rPr>
      <w:fldChar w:fldCharType="begin"/>
    </w:r>
    <w:r w:rsidR="003B00DF">
      <w:rPr>
        <w:rStyle w:val="a5"/>
      </w:rPr>
      <w:instrText xml:space="preserve">PAGE  </w:instrText>
    </w:r>
    <w:r>
      <w:rPr>
        <w:rStyle w:val="a5"/>
      </w:rPr>
      <w:fldChar w:fldCharType="end"/>
    </w:r>
  </w:p>
  <w:p w:rsidR="00F24EDF" w:rsidRDefault="00C336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DF" w:rsidRDefault="002C1022">
    <w:pPr>
      <w:pStyle w:val="a4"/>
      <w:framePr w:wrap="around" w:vAnchor="text" w:hAnchor="margin" w:xAlign="center" w:y="1"/>
      <w:rPr>
        <w:rStyle w:val="a5"/>
      </w:rPr>
    </w:pPr>
    <w:r>
      <w:rPr>
        <w:rStyle w:val="a5"/>
      </w:rPr>
      <w:fldChar w:fldCharType="begin"/>
    </w:r>
    <w:r w:rsidR="003B00DF">
      <w:rPr>
        <w:rStyle w:val="a5"/>
      </w:rPr>
      <w:instrText xml:space="preserve">PAGE  </w:instrText>
    </w:r>
    <w:r>
      <w:rPr>
        <w:rStyle w:val="a5"/>
      </w:rPr>
      <w:fldChar w:fldCharType="separate"/>
    </w:r>
    <w:r w:rsidR="008F5DEE">
      <w:rPr>
        <w:rStyle w:val="a5"/>
        <w:noProof/>
      </w:rPr>
      <w:t>1</w:t>
    </w:r>
    <w:r>
      <w:rPr>
        <w:rStyle w:val="a5"/>
      </w:rPr>
      <w:fldChar w:fldCharType="end"/>
    </w:r>
  </w:p>
  <w:p w:rsidR="00F24EDF" w:rsidRDefault="00C336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6FD" w:rsidRDefault="00C336FD" w:rsidP="00A05F22">
      <w:r>
        <w:separator/>
      </w:r>
    </w:p>
  </w:footnote>
  <w:footnote w:type="continuationSeparator" w:id="1">
    <w:p w:rsidR="00C336FD" w:rsidRDefault="00C336FD" w:rsidP="00A05F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1DD"/>
    <w:rsid w:val="000C3E74"/>
    <w:rsid w:val="000F697F"/>
    <w:rsid w:val="00102CF6"/>
    <w:rsid w:val="00255ABC"/>
    <w:rsid w:val="002B0C18"/>
    <w:rsid w:val="002C1022"/>
    <w:rsid w:val="002C7E7D"/>
    <w:rsid w:val="002F49FA"/>
    <w:rsid w:val="00362663"/>
    <w:rsid w:val="00382ABF"/>
    <w:rsid w:val="003A70BF"/>
    <w:rsid w:val="003B00DF"/>
    <w:rsid w:val="004D3DA3"/>
    <w:rsid w:val="0050499B"/>
    <w:rsid w:val="005C61AF"/>
    <w:rsid w:val="005F2EB8"/>
    <w:rsid w:val="00680603"/>
    <w:rsid w:val="00690BF7"/>
    <w:rsid w:val="006F7F5A"/>
    <w:rsid w:val="00767302"/>
    <w:rsid w:val="0079667A"/>
    <w:rsid w:val="00876A7B"/>
    <w:rsid w:val="00877F1E"/>
    <w:rsid w:val="008D2D48"/>
    <w:rsid w:val="008F5DEE"/>
    <w:rsid w:val="00943B57"/>
    <w:rsid w:val="009D78CB"/>
    <w:rsid w:val="00A05F22"/>
    <w:rsid w:val="00B36878"/>
    <w:rsid w:val="00BC0930"/>
    <w:rsid w:val="00BE61DD"/>
    <w:rsid w:val="00C336FD"/>
    <w:rsid w:val="00C5033F"/>
    <w:rsid w:val="00CD0B91"/>
    <w:rsid w:val="00CE6BF6"/>
    <w:rsid w:val="00D46912"/>
    <w:rsid w:val="00D56103"/>
    <w:rsid w:val="00D63F6E"/>
    <w:rsid w:val="00DA64A8"/>
    <w:rsid w:val="00E157D3"/>
    <w:rsid w:val="00E30F9C"/>
    <w:rsid w:val="00E757B5"/>
    <w:rsid w:val="00E90C12"/>
    <w:rsid w:val="00EE0C8B"/>
    <w:rsid w:val="00F05194"/>
    <w:rsid w:val="00F452DE"/>
    <w:rsid w:val="00F720AC"/>
    <w:rsid w:val="00FD6C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F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5F22"/>
    <w:rPr>
      <w:sz w:val="18"/>
      <w:szCs w:val="18"/>
    </w:rPr>
  </w:style>
  <w:style w:type="paragraph" w:styleId="a4">
    <w:name w:val="footer"/>
    <w:basedOn w:val="a"/>
    <w:link w:val="Char0"/>
    <w:uiPriority w:val="99"/>
    <w:unhideWhenUsed/>
    <w:rsid w:val="00A05F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5F22"/>
    <w:rPr>
      <w:sz w:val="18"/>
      <w:szCs w:val="18"/>
    </w:rPr>
  </w:style>
  <w:style w:type="character" w:styleId="a5">
    <w:name w:val="page number"/>
    <w:basedOn w:val="a0"/>
    <w:rsid w:val="00A05F2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667</Characters>
  <Application>Microsoft Office Word</Application>
  <DocSecurity>0</DocSecurity>
  <Lines>5</Lines>
  <Paragraphs>1</Paragraphs>
  <ScaleCrop>false</ScaleCrop>
  <Company>Microsoft</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3</cp:revision>
  <dcterms:created xsi:type="dcterms:W3CDTF">2017-12-12T02:45:00Z</dcterms:created>
  <dcterms:modified xsi:type="dcterms:W3CDTF">2017-12-25T01:51:00Z</dcterms:modified>
</cp:coreProperties>
</file>